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DFE8" w14:textId="77777777" w:rsidR="00600229" w:rsidRPr="00B50EC0" w:rsidRDefault="00600229" w:rsidP="00600229">
      <w:pPr>
        <w:rPr>
          <w:rFonts w:ascii="Aptos" w:hAnsi="Aptos"/>
          <w:b/>
          <w:sz w:val="15"/>
          <w:szCs w:val="15"/>
        </w:rPr>
      </w:pPr>
      <w:r w:rsidRPr="00B50EC0">
        <w:rPr>
          <w:rFonts w:ascii="Aptos" w:hAnsi="Aptos"/>
          <w:b/>
          <w:sz w:val="15"/>
          <w:szCs w:val="15"/>
        </w:rPr>
        <w:t>§ 6.03 SUMMARY TABLE OF DIMENSIONAL STANDARDS.</w:t>
      </w:r>
    </w:p>
    <w:p w14:paraId="3740A099" w14:textId="77777777" w:rsidR="00600229" w:rsidRPr="00B50EC0" w:rsidRDefault="00600229" w:rsidP="00600229">
      <w:pPr>
        <w:rPr>
          <w:rFonts w:ascii="Aptos" w:hAnsi="Aptos"/>
          <w:sz w:val="15"/>
          <w:szCs w:val="15"/>
        </w:rPr>
      </w:pPr>
      <w:r w:rsidRPr="00B50EC0">
        <w:rPr>
          <w:rFonts w:ascii="Aptos" w:hAnsi="Aptos"/>
          <w:sz w:val="15"/>
          <w:szCs w:val="15"/>
        </w:rPr>
        <w:tab/>
        <w:t xml:space="preserve">The following table offers examples of the dimension standards for several zoning districts. </w:t>
      </w:r>
      <w:r w:rsidRPr="00B50EC0">
        <w:rPr>
          <w:rFonts w:ascii="Aptos" w:hAnsi="Aptos"/>
          <w:sz w:val="15"/>
          <w:szCs w:val="15"/>
          <w:shd w:val="clear" w:color="auto" w:fill="FFF2CC" w:themeFill="accent4" w:themeFillTint="33"/>
        </w:rPr>
        <w:t>The Agricultural Interpretive Center District (AIC) and Shoreland Standards</w:t>
      </w:r>
      <w:r w:rsidRPr="00B50EC0">
        <w:rPr>
          <w:rFonts w:ascii="Aptos" w:hAnsi="Aptos"/>
          <w:sz w:val="15"/>
          <w:szCs w:val="15"/>
        </w:rPr>
        <w:t xml:space="preserve"> are not included in this table. Please refer to the dimension standards included in the individual zoning districts as well as other provisions, standards, regulations, requirements as contained in the Unified Development Code, including, but not limited to, the development review processes and requirements, general regulations, general environmental regulations, conservation design, transfer of development rights and the like.</w:t>
      </w:r>
    </w:p>
    <w:p w14:paraId="455DD4D7" w14:textId="77777777" w:rsidR="001B19C9" w:rsidRPr="00B50EC0" w:rsidRDefault="001B19C9" w:rsidP="0049113A">
      <w:pPr>
        <w:rPr>
          <w:rFonts w:ascii="Aptos" w:hAnsi="Aptos"/>
          <w:sz w:val="15"/>
          <w:szCs w:val="15"/>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2334"/>
        <w:gridCol w:w="1979"/>
        <w:gridCol w:w="3239"/>
        <w:gridCol w:w="1802"/>
        <w:gridCol w:w="1799"/>
        <w:gridCol w:w="1799"/>
        <w:gridCol w:w="1533"/>
      </w:tblGrid>
      <w:tr w:rsidR="00C95C3A" w:rsidRPr="00B50EC0" w14:paraId="37E9D17C" w14:textId="77777777" w:rsidTr="0068110C">
        <w:trPr>
          <w:cantSplit/>
          <w:tblHeader/>
        </w:trPr>
        <w:tc>
          <w:tcPr>
            <w:tcW w:w="806" w:type="pct"/>
            <w:hideMark/>
          </w:tcPr>
          <w:p w14:paraId="3BBB0BFB"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Table 6.2</w:t>
            </w:r>
          </w:p>
        </w:tc>
        <w:tc>
          <w:tcPr>
            <w:tcW w:w="683" w:type="pct"/>
            <w:hideMark/>
          </w:tcPr>
          <w:p w14:paraId="11C767CA"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Agricultural A-1</w:t>
            </w:r>
          </w:p>
        </w:tc>
        <w:tc>
          <w:tcPr>
            <w:tcW w:w="1118" w:type="pct"/>
            <w:hideMark/>
          </w:tcPr>
          <w:p w14:paraId="29E56E6D"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Limited Residential LR</w:t>
            </w:r>
          </w:p>
        </w:tc>
        <w:tc>
          <w:tcPr>
            <w:tcW w:w="622" w:type="pct"/>
            <w:hideMark/>
          </w:tcPr>
          <w:p w14:paraId="61CA0E5B"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Urban Expansion UE</w:t>
            </w:r>
          </w:p>
        </w:tc>
        <w:tc>
          <w:tcPr>
            <w:tcW w:w="621" w:type="pct"/>
            <w:hideMark/>
          </w:tcPr>
          <w:p w14:paraId="1F95B332"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Village Mixed Use VMX</w:t>
            </w:r>
          </w:p>
        </w:tc>
        <w:tc>
          <w:tcPr>
            <w:tcW w:w="621" w:type="pct"/>
            <w:hideMark/>
          </w:tcPr>
          <w:p w14:paraId="4D083B7D"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Highway Commercial HC</w:t>
            </w:r>
          </w:p>
        </w:tc>
        <w:tc>
          <w:tcPr>
            <w:tcW w:w="528" w:type="pct"/>
            <w:hideMark/>
          </w:tcPr>
          <w:p w14:paraId="4FDEF856"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b/>
                <w:bCs/>
                <w:i/>
                <w:iCs/>
                <w:sz w:val="15"/>
                <w:szCs w:val="15"/>
              </w:rPr>
              <w:t>General Industrial I</w:t>
            </w:r>
          </w:p>
        </w:tc>
      </w:tr>
      <w:tr w:rsidR="00C95C3A" w:rsidRPr="00B50EC0" w14:paraId="670B107D" w14:textId="77777777" w:rsidTr="0068110C">
        <w:trPr>
          <w:cantSplit/>
          <w:trHeight w:val="476"/>
        </w:trPr>
        <w:tc>
          <w:tcPr>
            <w:tcW w:w="806" w:type="pct"/>
            <w:hideMark/>
          </w:tcPr>
          <w:p w14:paraId="20165E83" w14:textId="77777777" w:rsidR="00600229" w:rsidRPr="00B50EC0" w:rsidRDefault="00600229" w:rsidP="004B7A55">
            <w:pPr>
              <w:spacing w:before="100" w:after="56" w:line="256" w:lineRule="auto"/>
              <w:rPr>
                <w:rFonts w:ascii="Aptos" w:hAnsi="Aptos"/>
                <w:sz w:val="15"/>
                <w:szCs w:val="15"/>
              </w:rPr>
            </w:pPr>
            <w:r w:rsidRPr="00B50EC0">
              <w:rPr>
                <w:rFonts w:ascii="Aptos" w:hAnsi="Aptos"/>
                <w:sz w:val="15"/>
                <w:szCs w:val="15"/>
              </w:rPr>
              <w:t>Minimum lot area</w:t>
            </w:r>
          </w:p>
        </w:tc>
        <w:tc>
          <w:tcPr>
            <w:tcW w:w="683" w:type="pct"/>
            <w:hideMark/>
          </w:tcPr>
          <w:p w14:paraId="1534809D" w14:textId="31B5300F" w:rsidR="00600229" w:rsidRPr="00B50EC0" w:rsidRDefault="00600229" w:rsidP="004B7A55">
            <w:pPr>
              <w:spacing w:before="100" w:line="256" w:lineRule="auto"/>
              <w:jc w:val="center"/>
              <w:rPr>
                <w:rFonts w:ascii="Aptos" w:hAnsi="Aptos"/>
                <w:sz w:val="15"/>
                <w:szCs w:val="15"/>
              </w:rPr>
            </w:pPr>
            <w:r w:rsidRPr="00B50EC0">
              <w:rPr>
                <w:rFonts w:ascii="Aptos" w:hAnsi="Aptos"/>
                <w:sz w:val="15"/>
                <w:szCs w:val="15"/>
              </w:rPr>
              <w:t xml:space="preserve">1 ac min, </w:t>
            </w:r>
          </w:p>
          <w:p w14:paraId="1A36C348" w14:textId="77777777" w:rsidR="00600229" w:rsidRPr="00B50EC0" w:rsidRDefault="00600229" w:rsidP="004B7A55">
            <w:pPr>
              <w:spacing w:line="256" w:lineRule="auto"/>
              <w:jc w:val="center"/>
              <w:rPr>
                <w:rFonts w:ascii="Aptos" w:hAnsi="Aptos"/>
                <w:sz w:val="15"/>
                <w:szCs w:val="15"/>
              </w:rPr>
            </w:pPr>
            <w:r w:rsidRPr="00B50EC0">
              <w:rPr>
                <w:rFonts w:ascii="Aptos" w:hAnsi="Aptos"/>
                <w:sz w:val="15"/>
                <w:szCs w:val="15"/>
              </w:rPr>
              <w:t xml:space="preserve">5 ac max for sfd, </w:t>
            </w:r>
          </w:p>
          <w:p w14:paraId="41EE5621" w14:textId="77777777" w:rsidR="00600229" w:rsidRPr="00B50EC0" w:rsidRDefault="00600229" w:rsidP="004B7A55">
            <w:pPr>
              <w:spacing w:after="56" w:line="256" w:lineRule="auto"/>
              <w:jc w:val="center"/>
              <w:rPr>
                <w:rFonts w:ascii="Aptos" w:hAnsi="Aptos"/>
                <w:sz w:val="15"/>
                <w:szCs w:val="15"/>
              </w:rPr>
            </w:pPr>
            <w:r w:rsidRPr="00B50EC0">
              <w:rPr>
                <w:rFonts w:ascii="Aptos" w:hAnsi="Aptos"/>
                <w:sz w:val="15"/>
                <w:szCs w:val="15"/>
              </w:rPr>
              <w:t>3 ac min</w:t>
            </w:r>
            <w:r w:rsidRPr="00B50EC0">
              <w:rPr>
                <w:rFonts w:ascii="Aptos" w:hAnsi="Aptos"/>
                <w:sz w:val="15"/>
                <w:szCs w:val="15"/>
                <w:vertAlign w:val="superscript"/>
              </w:rPr>
              <w:t>1</w:t>
            </w:r>
          </w:p>
        </w:tc>
        <w:tc>
          <w:tcPr>
            <w:tcW w:w="1118" w:type="pct"/>
          </w:tcPr>
          <w:p w14:paraId="6F6B19EF" w14:textId="78AB9757" w:rsidR="00600229" w:rsidRPr="00B50EC0" w:rsidRDefault="00600229" w:rsidP="00C80808">
            <w:pPr>
              <w:spacing w:before="100" w:line="256" w:lineRule="auto"/>
              <w:jc w:val="center"/>
              <w:rPr>
                <w:rFonts w:ascii="Aptos" w:hAnsi="Aptos"/>
                <w:sz w:val="15"/>
                <w:szCs w:val="15"/>
              </w:rPr>
            </w:pPr>
            <w:r w:rsidRPr="00B50EC0">
              <w:rPr>
                <w:rFonts w:ascii="Aptos" w:hAnsi="Aptos"/>
                <w:sz w:val="15"/>
                <w:szCs w:val="15"/>
              </w:rPr>
              <w:t>Standard Lots:</w:t>
            </w:r>
            <w:r w:rsidR="0068110C" w:rsidRPr="00B50EC0">
              <w:rPr>
                <w:rFonts w:ascii="Aptos" w:hAnsi="Aptos"/>
                <w:sz w:val="15"/>
                <w:szCs w:val="15"/>
              </w:rPr>
              <w:t xml:space="preserve"> </w:t>
            </w:r>
            <w:r w:rsidRPr="00B50EC0">
              <w:rPr>
                <w:rFonts w:ascii="Aptos" w:hAnsi="Aptos"/>
                <w:sz w:val="15"/>
                <w:szCs w:val="15"/>
              </w:rPr>
              <w:t xml:space="preserve">1 ac </w:t>
            </w:r>
          </w:p>
          <w:p w14:paraId="7ACEDFE1" w14:textId="0AEB3151" w:rsidR="00600229" w:rsidRPr="00B50EC0" w:rsidRDefault="00600229" w:rsidP="00C80808">
            <w:pPr>
              <w:spacing w:before="100" w:line="256" w:lineRule="auto"/>
              <w:jc w:val="center"/>
              <w:rPr>
                <w:rFonts w:ascii="Aptos" w:hAnsi="Aptos"/>
                <w:sz w:val="15"/>
                <w:szCs w:val="15"/>
              </w:rPr>
            </w:pPr>
            <w:r w:rsidRPr="00B50EC0">
              <w:rPr>
                <w:rFonts w:ascii="Aptos" w:hAnsi="Aptos"/>
                <w:sz w:val="15"/>
                <w:szCs w:val="15"/>
              </w:rPr>
              <w:t>Conservation Lots: 0.75 ac</w:t>
            </w:r>
            <w:r w:rsidR="0068110C" w:rsidRPr="00B50EC0">
              <w:rPr>
                <w:rFonts w:ascii="Aptos" w:hAnsi="Aptos"/>
                <w:sz w:val="15"/>
                <w:szCs w:val="15"/>
              </w:rPr>
              <w:t xml:space="preserve">; </w:t>
            </w:r>
            <w:r w:rsidRPr="00B50EC0">
              <w:rPr>
                <w:rFonts w:ascii="Aptos" w:hAnsi="Aptos"/>
                <w:sz w:val="15"/>
                <w:szCs w:val="15"/>
              </w:rPr>
              <w:t>2.5 ac max for sfd 2.5 ac min</w:t>
            </w:r>
            <w:r w:rsidRPr="00B50EC0">
              <w:rPr>
                <w:rFonts w:ascii="Aptos" w:hAnsi="Aptos"/>
                <w:sz w:val="15"/>
                <w:szCs w:val="15"/>
                <w:vertAlign w:val="superscript"/>
              </w:rPr>
              <w:t>1</w:t>
            </w:r>
          </w:p>
        </w:tc>
        <w:tc>
          <w:tcPr>
            <w:tcW w:w="622" w:type="pct"/>
            <w:hideMark/>
          </w:tcPr>
          <w:p w14:paraId="1C5A8B80" w14:textId="57484C79" w:rsidR="0025556D" w:rsidRDefault="00600229" w:rsidP="004B7A55">
            <w:pPr>
              <w:spacing w:before="100" w:after="56" w:line="256" w:lineRule="auto"/>
              <w:jc w:val="center"/>
              <w:rPr>
                <w:rFonts w:ascii="Aptos" w:hAnsi="Aptos"/>
                <w:sz w:val="15"/>
                <w:szCs w:val="15"/>
              </w:rPr>
            </w:pPr>
            <w:r w:rsidRPr="00B50EC0">
              <w:rPr>
                <w:rFonts w:ascii="Aptos" w:hAnsi="Aptos"/>
                <w:sz w:val="15"/>
                <w:szCs w:val="15"/>
              </w:rPr>
              <w:t>1 ac</w:t>
            </w:r>
            <w:r w:rsidR="0025556D">
              <w:rPr>
                <w:rFonts w:ascii="Aptos" w:hAnsi="Aptos"/>
                <w:sz w:val="15"/>
                <w:szCs w:val="15"/>
              </w:rPr>
              <w:t xml:space="preserve"> for sfd</w:t>
            </w:r>
          </w:p>
          <w:p w14:paraId="6D6FB6E4" w14:textId="6E5818FA" w:rsidR="00600229" w:rsidRPr="0025556D" w:rsidRDefault="00600229" w:rsidP="004B7A55">
            <w:pPr>
              <w:spacing w:before="100" w:after="56" w:line="256" w:lineRule="auto"/>
              <w:jc w:val="center"/>
              <w:rPr>
                <w:rFonts w:ascii="Aptos" w:hAnsi="Aptos"/>
                <w:sz w:val="15"/>
                <w:szCs w:val="15"/>
              </w:rPr>
            </w:pPr>
            <w:r w:rsidRPr="00B50EC0">
              <w:rPr>
                <w:rFonts w:ascii="Aptos" w:hAnsi="Aptos"/>
                <w:sz w:val="15"/>
                <w:szCs w:val="15"/>
              </w:rPr>
              <w:t>2.5 ac</w:t>
            </w:r>
            <w:r w:rsidRPr="00B50EC0">
              <w:rPr>
                <w:rFonts w:ascii="Aptos" w:hAnsi="Aptos"/>
                <w:sz w:val="15"/>
                <w:szCs w:val="15"/>
                <w:vertAlign w:val="superscript"/>
              </w:rPr>
              <w:t>1</w:t>
            </w:r>
            <w:r w:rsidR="0025556D">
              <w:rPr>
                <w:rFonts w:ascii="Aptos" w:hAnsi="Aptos"/>
                <w:sz w:val="15"/>
                <w:szCs w:val="15"/>
              </w:rPr>
              <w:t xml:space="preserve"> for other principal structures</w:t>
            </w:r>
          </w:p>
        </w:tc>
        <w:tc>
          <w:tcPr>
            <w:tcW w:w="621" w:type="pct"/>
            <w:hideMark/>
          </w:tcPr>
          <w:p w14:paraId="71C84847" w14:textId="30015BD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30,000</w:t>
            </w:r>
            <w:r w:rsidR="0068110C" w:rsidRPr="00B50EC0">
              <w:rPr>
                <w:rFonts w:ascii="Aptos" w:hAnsi="Aptos"/>
                <w:sz w:val="15"/>
                <w:szCs w:val="15"/>
              </w:rPr>
              <w:t xml:space="preserve"> </w:t>
            </w:r>
            <w:r w:rsidRPr="00B50EC0">
              <w:rPr>
                <w:rFonts w:ascii="Aptos" w:hAnsi="Aptos"/>
                <w:sz w:val="15"/>
                <w:szCs w:val="15"/>
              </w:rPr>
              <w:t>sqft</w:t>
            </w:r>
            <w:r w:rsidRPr="00B50EC0">
              <w:rPr>
                <w:rFonts w:ascii="Aptos" w:hAnsi="Aptos"/>
                <w:sz w:val="15"/>
                <w:szCs w:val="15"/>
                <w:vertAlign w:val="superscript"/>
              </w:rPr>
              <w:t>2</w:t>
            </w:r>
            <w:r w:rsidRPr="00B50EC0">
              <w:rPr>
                <w:rFonts w:ascii="Aptos" w:hAnsi="Aptos"/>
                <w:sz w:val="15"/>
                <w:szCs w:val="15"/>
              </w:rPr>
              <w:t xml:space="preserve"> 1 ac</w:t>
            </w:r>
            <w:r w:rsidRPr="00B50EC0">
              <w:rPr>
                <w:rFonts w:ascii="Aptos" w:hAnsi="Aptos"/>
                <w:sz w:val="15"/>
                <w:szCs w:val="15"/>
                <w:vertAlign w:val="superscript"/>
              </w:rPr>
              <w:t>1</w:t>
            </w:r>
          </w:p>
        </w:tc>
        <w:tc>
          <w:tcPr>
            <w:tcW w:w="621" w:type="pct"/>
            <w:hideMark/>
          </w:tcPr>
          <w:p w14:paraId="2B89CAF3"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NA</w:t>
            </w:r>
          </w:p>
        </w:tc>
        <w:tc>
          <w:tcPr>
            <w:tcW w:w="528" w:type="pct"/>
            <w:hideMark/>
          </w:tcPr>
          <w:p w14:paraId="603B8931"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NA</w:t>
            </w:r>
          </w:p>
        </w:tc>
      </w:tr>
      <w:tr w:rsidR="00C95C3A" w:rsidRPr="00B50EC0" w14:paraId="6C2CB2C5" w14:textId="77777777" w:rsidTr="0068110C">
        <w:trPr>
          <w:cantSplit/>
          <w:trHeight w:val="377"/>
        </w:trPr>
        <w:tc>
          <w:tcPr>
            <w:tcW w:w="806" w:type="pct"/>
            <w:hideMark/>
          </w:tcPr>
          <w:p w14:paraId="2E8476A2" w14:textId="77777777" w:rsidR="00600229" w:rsidRPr="00B50EC0" w:rsidRDefault="00600229" w:rsidP="004B7A55">
            <w:pPr>
              <w:spacing w:before="100" w:after="56" w:line="256" w:lineRule="auto"/>
              <w:rPr>
                <w:rFonts w:ascii="Aptos" w:hAnsi="Aptos"/>
                <w:sz w:val="15"/>
                <w:szCs w:val="15"/>
              </w:rPr>
            </w:pPr>
            <w:r w:rsidRPr="00B50EC0">
              <w:rPr>
                <w:rFonts w:ascii="Aptos" w:hAnsi="Aptos"/>
                <w:sz w:val="15"/>
                <w:szCs w:val="15"/>
              </w:rPr>
              <w:t>Minimum lot width</w:t>
            </w:r>
          </w:p>
        </w:tc>
        <w:tc>
          <w:tcPr>
            <w:tcW w:w="683" w:type="pct"/>
            <w:hideMark/>
          </w:tcPr>
          <w:p w14:paraId="2AC7FBEB" w14:textId="0BF4F290"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100ft</w:t>
            </w:r>
            <w:r w:rsidRPr="00B50EC0">
              <w:rPr>
                <w:rFonts w:ascii="Aptos" w:hAnsi="Aptos"/>
                <w:sz w:val="15"/>
                <w:szCs w:val="15"/>
                <w:vertAlign w:val="superscript"/>
              </w:rPr>
              <w:t>2</w:t>
            </w:r>
          </w:p>
        </w:tc>
        <w:tc>
          <w:tcPr>
            <w:tcW w:w="1118" w:type="pct"/>
          </w:tcPr>
          <w:p w14:paraId="551842C2" w14:textId="5D836AC0" w:rsidR="00600229" w:rsidRPr="00B50EC0" w:rsidRDefault="006677C6" w:rsidP="00C80808">
            <w:pPr>
              <w:spacing w:before="100" w:after="56" w:line="256" w:lineRule="auto"/>
              <w:jc w:val="center"/>
              <w:rPr>
                <w:rFonts w:ascii="Aptos" w:hAnsi="Aptos"/>
                <w:sz w:val="15"/>
                <w:szCs w:val="15"/>
              </w:rPr>
            </w:pPr>
            <w:r w:rsidRPr="00B50EC0">
              <w:rPr>
                <w:rFonts w:ascii="Aptos" w:hAnsi="Aptos"/>
                <w:sz w:val="15"/>
                <w:szCs w:val="15"/>
              </w:rPr>
              <w:t>Standard L</w:t>
            </w:r>
            <w:r w:rsidR="00600229" w:rsidRPr="00B50EC0">
              <w:rPr>
                <w:rFonts w:ascii="Aptos" w:hAnsi="Aptos"/>
                <w:sz w:val="15"/>
                <w:szCs w:val="15"/>
              </w:rPr>
              <w:t>ots: 150ft</w:t>
            </w:r>
          </w:p>
          <w:p w14:paraId="1EC5E4E5" w14:textId="15A32CFB" w:rsidR="00600229" w:rsidRPr="00B50EC0" w:rsidRDefault="006677C6" w:rsidP="00C80808">
            <w:pPr>
              <w:spacing w:before="100" w:after="56" w:line="256" w:lineRule="auto"/>
              <w:jc w:val="center"/>
              <w:rPr>
                <w:rFonts w:ascii="Aptos" w:hAnsi="Aptos"/>
                <w:sz w:val="15"/>
                <w:szCs w:val="15"/>
              </w:rPr>
            </w:pPr>
            <w:r w:rsidRPr="00B50EC0">
              <w:rPr>
                <w:rFonts w:ascii="Aptos" w:hAnsi="Aptos"/>
                <w:sz w:val="15"/>
                <w:szCs w:val="15"/>
              </w:rPr>
              <w:t>Conservation L</w:t>
            </w:r>
            <w:r w:rsidR="00600229" w:rsidRPr="00B50EC0">
              <w:rPr>
                <w:rFonts w:ascii="Aptos" w:hAnsi="Aptos"/>
                <w:sz w:val="15"/>
                <w:szCs w:val="15"/>
              </w:rPr>
              <w:t>ots: 75ft</w:t>
            </w:r>
          </w:p>
        </w:tc>
        <w:tc>
          <w:tcPr>
            <w:tcW w:w="622" w:type="pct"/>
            <w:hideMark/>
          </w:tcPr>
          <w:p w14:paraId="28EAE58E" w14:textId="19E81E03"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100ft</w:t>
            </w:r>
          </w:p>
        </w:tc>
        <w:tc>
          <w:tcPr>
            <w:tcW w:w="621" w:type="pct"/>
            <w:hideMark/>
          </w:tcPr>
          <w:p w14:paraId="5675538C" w14:textId="68FBC6F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75ft</w:t>
            </w:r>
          </w:p>
        </w:tc>
        <w:tc>
          <w:tcPr>
            <w:tcW w:w="621" w:type="pct"/>
            <w:hideMark/>
          </w:tcPr>
          <w:p w14:paraId="6E130F54" w14:textId="7766AE6E"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100ft</w:t>
            </w:r>
          </w:p>
        </w:tc>
        <w:tc>
          <w:tcPr>
            <w:tcW w:w="528" w:type="pct"/>
            <w:hideMark/>
          </w:tcPr>
          <w:p w14:paraId="6C3FF1D0" w14:textId="5938E99A"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100ft</w:t>
            </w:r>
          </w:p>
        </w:tc>
      </w:tr>
      <w:tr w:rsidR="00C95C3A" w:rsidRPr="00B50EC0" w14:paraId="59F25086" w14:textId="77777777" w:rsidTr="0068110C">
        <w:trPr>
          <w:cantSplit/>
        </w:trPr>
        <w:tc>
          <w:tcPr>
            <w:tcW w:w="806" w:type="pct"/>
            <w:shd w:val="clear" w:color="auto" w:fill="auto"/>
            <w:hideMark/>
          </w:tcPr>
          <w:p w14:paraId="09D3134D" w14:textId="77777777" w:rsidR="00600229" w:rsidRPr="00B50EC0" w:rsidRDefault="00600229" w:rsidP="004B7A55">
            <w:pPr>
              <w:spacing w:before="100" w:after="56" w:line="256" w:lineRule="auto"/>
              <w:rPr>
                <w:rFonts w:ascii="Aptos" w:hAnsi="Aptos"/>
                <w:b/>
                <w:color w:val="ED7D31" w:themeColor="accent2"/>
                <w:sz w:val="15"/>
                <w:szCs w:val="15"/>
              </w:rPr>
            </w:pPr>
            <w:r w:rsidRPr="00B50EC0">
              <w:rPr>
                <w:rFonts w:ascii="Aptos" w:hAnsi="Aptos"/>
                <w:b/>
                <w:color w:val="ED7D31" w:themeColor="accent2"/>
                <w:sz w:val="15"/>
                <w:szCs w:val="15"/>
              </w:rPr>
              <w:t>Front yard setbacks</w:t>
            </w:r>
          </w:p>
        </w:tc>
        <w:tc>
          <w:tcPr>
            <w:tcW w:w="683" w:type="pct"/>
            <w:shd w:val="clear" w:color="auto" w:fill="auto"/>
            <w:hideMark/>
          </w:tcPr>
          <w:p w14:paraId="01981B76" w14:textId="4F0A2F51"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75ft</w:t>
            </w:r>
          </w:p>
        </w:tc>
        <w:tc>
          <w:tcPr>
            <w:tcW w:w="1118" w:type="pct"/>
            <w:shd w:val="clear" w:color="auto" w:fill="auto"/>
          </w:tcPr>
          <w:p w14:paraId="4247B312" w14:textId="15619B0B" w:rsidR="0068110C" w:rsidRPr="00B50EC0" w:rsidRDefault="00600229" w:rsidP="0068110C">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Standard </w:t>
            </w:r>
            <w:r w:rsidR="006677C6" w:rsidRPr="00B50EC0">
              <w:rPr>
                <w:rFonts w:ascii="Aptos" w:hAnsi="Aptos"/>
                <w:color w:val="ED7D31" w:themeColor="accent2"/>
                <w:sz w:val="15"/>
                <w:szCs w:val="15"/>
              </w:rPr>
              <w:t>Lots</w:t>
            </w:r>
            <w:r w:rsidRPr="00B50EC0">
              <w:rPr>
                <w:rFonts w:ascii="Aptos" w:hAnsi="Aptos"/>
                <w:color w:val="ED7D31" w:themeColor="accent2"/>
                <w:sz w:val="15"/>
                <w:szCs w:val="15"/>
              </w:rPr>
              <w:t>: 40ft</w:t>
            </w:r>
            <w:r w:rsidR="0068110C" w:rsidRPr="00B50EC0">
              <w:rPr>
                <w:rFonts w:ascii="Aptos" w:hAnsi="Aptos"/>
                <w:color w:val="ED7D31" w:themeColor="accent2"/>
                <w:sz w:val="15"/>
                <w:szCs w:val="15"/>
              </w:rPr>
              <w:t xml:space="preserve"> </w:t>
            </w:r>
          </w:p>
          <w:p w14:paraId="74262461" w14:textId="77777777"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Conservation </w:t>
            </w:r>
            <w:r w:rsidR="006677C6" w:rsidRPr="00B50EC0">
              <w:rPr>
                <w:rFonts w:ascii="Aptos" w:hAnsi="Aptos"/>
                <w:color w:val="ED7D31" w:themeColor="accent2"/>
                <w:sz w:val="15"/>
                <w:szCs w:val="15"/>
              </w:rPr>
              <w:t>Lots</w:t>
            </w:r>
            <w:r w:rsidRPr="00B50EC0">
              <w:rPr>
                <w:rFonts w:ascii="Aptos" w:hAnsi="Aptos"/>
                <w:color w:val="ED7D31" w:themeColor="accent2"/>
                <w:sz w:val="15"/>
                <w:szCs w:val="15"/>
              </w:rPr>
              <w:t>: 30ft from interior road</w:t>
            </w:r>
          </w:p>
          <w:p w14:paraId="28FD6F4A" w14:textId="03254C40" w:rsidR="007F0E3D" w:rsidRPr="00B50EC0" w:rsidRDefault="00B50EC0"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All lots - </w:t>
            </w:r>
            <w:r w:rsidR="007F0E3D" w:rsidRPr="00B50EC0">
              <w:rPr>
                <w:rFonts w:ascii="Aptos" w:hAnsi="Aptos"/>
                <w:color w:val="ED7D31" w:themeColor="accent2"/>
                <w:sz w:val="15"/>
                <w:szCs w:val="15"/>
              </w:rPr>
              <w:t>*50ft in SO; **25ft from private road</w:t>
            </w:r>
          </w:p>
        </w:tc>
        <w:tc>
          <w:tcPr>
            <w:tcW w:w="622" w:type="pct"/>
            <w:shd w:val="clear" w:color="auto" w:fill="auto"/>
            <w:hideMark/>
          </w:tcPr>
          <w:p w14:paraId="1DA33CFB" w14:textId="1EA77960"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tc>
        <w:tc>
          <w:tcPr>
            <w:tcW w:w="621" w:type="pct"/>
            <w:shd w:val="clear" w:color="auto" w:fill="auto"/>
            <w:hideMark/>
          </w:tcPr>
          <w:p w14:paraId="1A672D85" w14:textId="1E0E03DF"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35ft</w:t>
            </w:r>
            <w:r w:rsidRPr="00B50EC0">
              <w:rPr>
                <w:rFonts w:ascii="Aptos" w:hAnsi="Aptos"/>
                <w:color w:val="ED7D31" w:themeColor="accent2"/>
                <w:sz w:val="15"/>
                <w:szCs w:val="15"/>
                <w:vertAlign w:val="superscript"/>
              </w:rPr>
              <w:t>3</w:t>
            </w:r>
          </w:p>
        </w:tc>
        <w:tc>
          <w:tcPr>
            <w:tcW w:w="621" w:type="pct"/>
            <w:shd w:val="clear" w:color="auto" w:fill="auto"/>
            <w:hideMark/>
          </w:tcPr>
          <w:p w14:paraId="034A13F9" w14:textId="393EAAF9"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tc>
        <w:tc>
          <w:tcPr>
            <w:tcW w:w="528" w:type="pct"/>
            <w:shd w:val="clear" w:color="auto" w:fill="auto"/>
            <w:hideMark/>
          </w:tcPr>
          <w:p w14:paraId="4BECE3F7" w14:textId="45794AD7"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tc>
      </w:tr>
      <w:tr w:rsidR="00C95C3A" w:rsidRPr="00B50EC0" w14:paraId="2A3406FD" w14:textId="77777777" w:rsidTr="0068110C">
        <w:trPr>
          <w:cantSplit/>
        </w:trPr>
        <w:tc>
          <w:tcPr>
            <w:tcW w:w="806" w:type="pct"/>
            <w:hideMark/>
          </w:tcPr>
          <w:p w14:paraId="400814B3" w14:textId="77777777" w:rsidR="00600229" w:rsidRPr="00B50EC0" w:rsidRDefault="00600229" w:rsidP="004B7A55">
            <w:pPr>
              <w:spacing w:before="100" w:after="56" w:line="256" w:lineRule="auto"/>
              <w:ind w:firstLine="165"/>
              <w:rPr>
                <w:rFonts w:ascii="Aptos" w:hAnsi="Aptos"/>
                <w:sz w:val="15"/>
                <w:szCs w:val="15"/>
              </w:rPr>
            </w:pPr>
            <w:r w:rsidRPr="00B50EC0">
              <w:rPr>
                <w:rFonts w:ascii="Aptos" w:hAnsi="Aptos"/>
                <w:sz w:val="15"/>
                <w:szCs w:val="15"/>
              </w:rPr>
              <w:t>Windbreak or tree</w:t>
            </w:r>
          </w:p>
        </w:tc>
        <w:tc>
          <w:tcPr>
            <w:tcW w:w="683" w:type="pct"/>
            <w:hideMark/>
          </w:tcPr>
          <w:p w14:paraId="110EDFB6" w14:textId="4C3A2015"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r w:rsidRPr="00B50EC0">
              <w:rPr>
                <w:rFonts w:ascii="Aptos" w:hAnsi="Aptos"/>
                <w:sz w:val="15"/>
                <w:szCs w:val="15"/>
                <w:vertAlign w:val="superscript"/>
              </w:rPr>
              <w:t>4</w:t>
            </w:r>
            <w:r w:rsidRPr="00B50EC0">
              <w:rPr>
                <w:rFonts w:ascii="Aptos" w:hAnsi="Aptos"/>
                <w:sz w:val="15"/>
                <w:szCs w:val="15"/>
              </w:rPr>
              <w:t>, 15ft</w:t>
            </w:r>
            <w:r w:rsidRPr="00B50EC0">
              <w:rPr>
                <w:rFonts w:ascii="Aptos" w:hAnsi="Aptos"/>
                <w:sz w:val="15"/>
                <w:szCs w:val="15"/>
                <w:vertAlign w:val="superscript"/>
              </w:rPr>
              <w:t>5</w:t>
            </w:r>
          </w:p>
        </w:tc>
        <w:tc>
          <w:tcPr>
            <w:tcW w:w="1118" w:type="pct"/>
            <w:hideMark/>
          </w:tcPr>
          <w:p w14:paraId="02A903F1" w14:textId="77777777" w:rsidR="00600229" w:rsidRPr="00B50EC0" w:rsidRDefault="00600229" w:rsidP="00C80808">
            <w:pPr>
              <w:spacing w:before="100" w:after="56" w:line="256" w:lineRule="auto"/>
              <w:jc w:val="center"/>
              <w:rPr>
                <w:rFonts w:ascii="Aptos" w:hAnsi="Aptos"/>
                <w:sz w:val="15"/>
                <w:szCs w:val="15"/>
              </w:rPr>
            </w:pPr>
            <w:r w:rsidRPr="00B50EC0">
              <w:rPr>
                <w:rFonts w:ascii="Aptos" w:hAnsi="Aptos"/>
                <w:sz w:val="15"/>
                <w:szCs w:val="15"/>
              </w:rPr>
              <w:t>20 ft</w:t>
            </w:r>
            <w:r w:rsidRPr="00B50EC0">
              <w:rPr>
                <w:rFonts w:ascii="Aptos" w:hAnsi="Aptos"/>
                <w:sz w:val="15"/>
                <w:szCs w:val="15"/>
                <w:vertAlign w:val="superscript"/>
              </w:rPr>
              <w:t>4</w:t>
            </w:r>
            <w:r w:rsidRPr="00B50EC0">
              <w:rPr>
                <w:rFonts w:ascii="Aptos" w:hAnsi="Aptos"/>
                <w:sz w:val="15"/>
                <w:szCs w:val="15"/>
              </w:rPr>
              <w:t>, 15 ft</w:t>
            </w:r>
            <w:r w:rsidRPr="00B50EC0">
              <w:rPr>
                <w:rFonts w:ascii="Aptos" w:hAnsi="Aptos"/>
                <w:sz w:val="15"/>
                <w:szCs w:val="15"/>
                <w:vertAlign w:val="superscript"/>
              </w:rPr>
              <w:t>5</w:t>
            </w:r>
          </w:p>
        </w:tc>
        <w:tc>
          <w:tcPr>
            <w:tcW w:w="622" w:type="pct"/>
            <w:hideMark/>
          </w:tcPr>
          <w:p w14:paraId="2908D838" w14:textId="69E2035A"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r w:rsidRPr="00B50EC0">
              <w:rPr>
                <w:rFonts w:ascii="Aptos" w:hAnsi="Aptos"/>
                <w:sz w:val="15"/>
                <w:szCs w:val="15"/>
                <w:vertAlign w:val="superscript"/>
              </w:rPr>
              <w:t>4</w:t>
            </w:r>
            <w:r w:rsidRPr="00B50EC0">
              <w:rPr>
                <w:rFonts w:ascii="Aptos" w:hAnsi="Aptos"/>
                <w:sz w:val="15"/>
                <w:szCs w:val="15"/>
              </w:rPr>
              <w:t>, 15ft</w:t>
            </w:r>
            <w:r w:rsidRPr="00B50EC0">
              <w:rPr>
                <w:rFonts w:ascii="Aptos" w:hAnsi="Aptos"/>
                <w:sz w:val="15"/>
                <w:szCs w:val="15"/>
                <w:vertAlign w:val="superscript"/>
              </w:rPr>
              <w:t>5</w:t>
            </w:r>
          </w:p>
        </w:tc>
        <w:tc>
          <w:tcPr>
            <w:tcW w:w="621" w:type="pct"/>
            <w:hideMark/>
          </w:tcPr>
          <w:p w14:paraId="535BA181" w14:textId="068534CB"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r w:rsidRPr="00B50EC0">
              <w:rPr>
                <w:rFonts w:ascii="Aptos" w:hAnsi="Aptos"/>
                <w:sz w:val="15"/>
                <w:szCs w:val="15"/>
                <w:vertAlign w:val="superscript"/>
              </w:rPr>
              <w:t>4</w:t>
            </w:r>
            <w:r w:rsidRPr="00B50EC0">
              <w:rPr>
                <w:rFonts w:ascii="Aptos" w:hAnsi="Aptos"/>
                <w:sz w:val="15"/>
                <w:szCs w:val="15"/>
              </w:rPr>
              <w:t>, 15ft</w:t>
            </w:r>
            <w:r w:rsidRPr="00B50EC0">
              <w:rPr>
                <w:rFonts w:ascii="Aptos" w:hAnsi="Aptos"/>
                <w:sz w:val="15"/>
                <w:szCs w:val="15"/>
                <w:vertAlign w:val="superscript"/>
              </w:rPr>
              <w:t>5</w:t>
            </w:r>
          </w:p>
        </w:tc>
        <w:tc>
          <w:tcPr>
            <w:tcW w:w="621" w:type="pct"/>
            <w:hideMark/>
          </w:tcPr>
          <w:p w14:paraId="7D4FB571" w14:textId="76889C3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r w:rsidRPr="00B50EC0">
              <w:rPr>
                <w:rFonts w:ascii="Aptos" w:hAnsi="Aptos"/>
                <w:sz w:val="15"/>
                <w:szCs w:val="15"/>
                <w:vertAlign w:val="superscript"/>
              </w:rPr>
              <w:t>4</w:t>
            </w:r>
            <w:r w:rsidRPr="00B50EC0">
              <w:rPr>
                <w:rFonts w:ascii="Aptos" w:hAnsi="Aptos"/>
                <w:sz w:val="15"/>
                <w:szCs w:val="15"/>
              </w:rPr>
              <w:t>, 15ft</w:t>
            </w:r>
            <w:r w:rsidRPr="00B50EC0">
              <w:rPr>
                <w:rFonts w:ascii="Aptos" w:hAnsi="Aptos"/>
                <w:sz w:val="15"/>
                <w:szCs w:val="15"/>
                <w:vertAlign w:val="superscript"/>
              </w:rPr>
              <w:t>5</w:t>
            </w:r>
          </w:p>
        </w:tc>
        <w:tc>
          <w:tcPr>
            <w:tcW w:w="528" w:type="pct"/>
            <w:hideMark/>
          </w:tcPr>
          <w:p w14:paraId="75F0993F" w14:textId="0C94D9E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r w:rsidRPr="00B50EC0">
              <w:rPr>
                <w:rFonts w:ascii="Aptos" w:hAnsi="Aptos"/>
                <w:sz w:val="15"/>
                <w:szCs w:val="15"/>
                <w:vertAlign w:val="superscript"/>
              </w:rPr>
              <w:t>4</w:t>
            </w:r>
            <w:r w:rsidRPr="00B50EC0">
              <w:rPr>
                <w:rFonts w:ascii="Aptos" w:hAnsi="Aptos"/>
                <w:sz w:val="15"/>
                <w:szCs w:val="15"/>
              </w:rPr>
              <w:t>, 15ft</w:t>
            </w:r>
            <w:r w:rsidRPr="00B50EC0">
              <w:rPr>
                <w:rFonts w:ascii="Aptos" w:hAnsi="Aptos"/>
                <w:sz w:val="15"/>
                <w:szCs w:val="15"/>
                <w:vertAlign w:val="superscript"/>
              </w:rPr>
              <w:t>5</w:t>
            </w:r>
          </w:p>
        </w:tc>
      </w:tr>
      <w:tr w:rsidR="00C95C3A" w:rsidRPr="00B50EC0" w14:paraId="670A7168" w14:textId="77777777" w:rsidTr="0068110C">
        <w:trPr>
          <w:cantSplit/>
        </w:trPr>
        <w:tc>
          <w:tcPr>
            <w:tcW w:w="806" w:type="pct"/>
            <w:shd w:val="clear" w:color="auto" w:fill="auto"/>
            <w:hideMark/>
          </w:tcPr>
          <w:p w14:paraId="28FCF08D" w14:textId="77777777" w:rsidR="00600229" w:rsidRPr="00B50EC0" w:rsidRDefault="00600229" w:rsidP="004B7A55">
            <w:pPr>
              <w:spacing w:before="100" w:after="56" w:line="256" w:lineRule="auto"/>
              <w:rPr>
                <w:rFonts w:ascii="Aptos" w:hAnsi="Aptos"/>
                <w:b/>
                <w:color w:val="ED7D31" w:themeColor="accent2"/>
                <w:sz w:val="15"/>
                <w:szCs w:val="15"/>
              </w:rPr>
            </w:pPr>
            <w:r w:rsidRPr="00B50EC0">
              <w:rPr>
                <w:rFonts w:ascii="Aptos" w:hAnsi="Aptos"/>
                <w:b/>
                <w:color w:val="ED7D31" w:themeColor="accent2"/>
                <w:sz w:val="15"/>
                <w:szCs w:val="15"/>
              </w:rPr>
              <w:t>Side yard setbacks</w:t>
            </w:r>
          </w:p>
        </w:tc>
        <w:tc>
          <w:tcPr>
            <w:tcW w:w="683" w:type="pct"/>
            <w:shd w:val="clear" w:color="auto" w:fill="auto"/>
            <w:hideMark/>
          </w:tcPr>
          <w:p w14:paraId="0AA5267F" w14:textId="6CEDADDA"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40ft</w:t>
            </w:r>
          </w:p>
        </w:tc>
        <w:tc>
          <w:tcPr>
            <w:tcW w:w="1118" w:type="pct"/>
            <w:shd w:val="clear" w:color="auto" w:fill="auto"/>
          </w:tcPr>
          <w:p w14:paraId="7CC27E5F" w14:textId="3863FF45"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Standard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15ft</w:t>
            </w:r>
          </w:p>
          <w:p w14:paraId="4C76F11B" w14:textId="2178F537"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Conservation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10ft</w:t>
            </w:r>
          </w:p>
        </w:tc>
        <w:tc>
          <w:tcPr>
            <w:tcW w:w="622" w:type="pct"/>
            <w:shd w:val="clear" w:color="auto" w:fill="auto"/>
            <w:hideMark/>
          </w:tcPr>
          <w:p w14:paraId="0A0C768C" w14:textId="0CF021F3" w:rsidR="00600229" w:rsidRPr="00B50EC0" w:rsidRDefault="0025556D" w:rsidP="004B7A55">
            <w:pPr>
              <w:spacing w:before="100" w:after="56" w:line="256" w:lineRule="auto"/>
              <w:jc w:val="center"/>
              <w:rPr>
                <w:rFonts w:ascii="Aptos" w:hAnsi="Aptos"/>
                <w:color w:val="ED7D31" w:themeColor="accent2"/>
                <w:sz w:val="15"/>
                <w:szCs w:val="15"/>
              </w:rPr>
            </w:pPr>
            <w:r>
              <w:rPr>
                <w:rFonts w:ascii="Aptos" w:hAnsi="Aptos"/>
                <w:color w:val="ED7D31" w:themeColor="accent2"/>
                <w:sz w:val="15"/>
                <w:szCs w:val="15"/>
              </w:rPr>
              <w:t>2</w:t>
            </w:r>
            <w:r w:rsidR="00600229" w:rsidRPr="00B50EC0">
              <w:rPr>
                <w:rFonts w:ascii="Aptos" w:hAnsi="Aptos"/>
                <w:color w:val="ED7D31" w:themeColor="accent2"/>
                <w:sz w:val="15"/>
                <w:szCs w:val="15"/>
              </w:rPr>
              <w:t>0ft</w:t>
            </w:r>
          </w:p>
        </w:tc>
        <w:tc>
          <w:tcPr>
            <w:tcW w:w="621" w:type="pct"/>
            <w:shd w:val="clear" w:color="auto" w:fill="auto"/>
            <w:hideMark/>
          </w:tcPr>
          <w:p w14:paraId="1B2C9541" w14:textId="3F471295"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20ft</w:t>
            </w:r>
          </w:p>
        </w:tc>
        <w:tc>
          <w:tcPr>
            <w:tcW w:w="621" w:type="pct"/>
            <w:shd w:val="clear" w:color="auto" w:fill="auto"/>
            <w:hideMark/>
          </w:tcPr>
          <w:p w14:paraId="1866A187" w14:textId="71DDDCD8"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15ft</w:t>
            </w:r>
            <w:r w:rsidRPr="00B50EC0">
              <w:rPr>
                <w:rFonts w:ascii="Aptos" w:hAnsi="Aptos"/>
                <w:color w:val="ED7D31" w:themeColor="accent2"/>
                <w:sz w:val="15"/>
                <w:szCs w:val="15"/>
                <w:vertAlign w:val="superscript"/>
              </w:rPr>
              <w:t>6</w:t>
            </w:r>
          </w:p>
        </w:tc>
        <w:tc>
          <w:tcPr>
            <w:tcW w:w="528" w:type="pct"/>
            <w:shd w:val="clear" w:color="auto" w:fill="auto"/>
            <w:hideMark/>
          </w:tcPr>
          <w:p w14:paraId="344F7363" w14:textId="3E925411"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15ft</w:t>
            </w:r>
            <w:r w:rsidRPr="00B50EC0">
              <w:rPr>
                <w:rFonts w:ascii="Aptos" w:hAnsi="Aptos"/>
                <w:color w:val="ED7D31" w:themeColor="accent2"/>
                <w:sz w:val="15"/>
                <w:szCs w:val="15"/>
                <w:vertAlign w:val="superscript"/>
              </w:rPr>
              <w:t>6</w:t>
            </w:r>
          </w:p>
        </w:tc>
      </w:tr>
      <w:tr w:rsidR="00C95C3A" w:rsidRPr="00B50EC0" w14:paraId="755AAA88" w14:textId="77777777" w:rsidTr="0068110C">
        <w:trPr>
          <w:cantSplit/>
        </w:trPr>
        <w:tc>
          <w:tcPr>
            <w:tcW w:w="806" w:type="pct"/>
            <w:shd w:val="clear" w:color="auto" w:fill="auto"/>
            <w:hideMark/>
          </w:tcPr>
          <w:p w14:paraId="16AD97D2" w14:textId="77777777" w:rsidR="00600229" w:rsidRPr="00B50EC0" w:rsidRDefault="00600229" w:rsidP="004B7A55">
            <w:pPr>
              <w:spacing w:before="100" w:after="56" w:line="256" w:lineRule="auto"/>
              <w:ind w:firstLine="165"/>
              <w:rPr>
                <w:rFonts w:ascii="Aptos" w:hAnsi="Aptos"/>
                <w:sz w:val="15"/>
                <w:szCs w:val="15"/>
              </w:rPr>
            </w:pPr>
            <w:r w:rsidRPr="00B50EC0">
              <w:rPr>
                <w:rFonts w:ascii="Aptos" w:hAnsi="Aptos"/>
                <w:sz w:val="15"/>
                <w:szCs w:val="15"/>
              </w:rPr>
              <w:t>Tree</w:t>
            </w:r>
          </w:p>
        </w:tc>
        <w:tc>
          <w:tcPr>
            <w:tcW w:w="683" w:type="pct"/>
            <w:shd w:val="clear" w:color="auto" w:fill="auto"/>
            <w:hideMark/>
          </w:tcPr>
          <w:p w14:paraId="1CA6227E" w14:textId="7533776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1118" w:type="pct"/>
            <w:shd w:val="clear" w:color="auto" w:fill="auto"/>
            <w:hideMark/>
          </w:tcPr>
          <w:p w14:paraId="2C85EF07" w14:textId="77777777" w:rsidR="00600229" w:rsidRPr="00B50EC0" w:rsidRDefault="00600229" w:rsidP="00C80808">
            <w:pPr>
              <w:spacing w:before="100" w:after="56" w:line="256" w:lineRule="auto"/>
              <w:jc w:val="center"/>
              <w:rPr>
                <w:rFonts w:ascii="Aptos" w:hAnsi="Aptos"/>
                <w:sz w:val="15"/>
                <w:szCs w:val="15"/>
              </w:rPr>
            </w:pPr>
            <w:r w:rsidRPr="00B50EC0">
              <w:rPr>
                <w:rFonts w:ascii="Aptos" w:hAnsi="Aptos"/>
                <w:sz w:val="15"/>
                <w:szCs w:val="15"/>
              </w:rPr>
              <w:t>20 ft</w:t>
            </w:r>
          </w:p>
        </w:tc>
        <w:tc>
          <w:tcPr>
            <w:tcW w:w="622" w:type="pct"/>
            <w:shd w:val="clear" w:color="auto" w:fill="auto"/>
            <w:hideMark/>
          </w:tcPr>
          <w:p w14:paraId="292F9C50" w14:textId="1C4B66B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621" w:type="pct"/>
            <w:shd w:val="clear" w:color="auto" w:fill="auto"/>
            <w:hideMark/>
          </w:tcPr>
          <w:p w14:paraId="228C6874" w14:textId="24A0B8DE"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621" w:type="pct"/>
            <w:shd w:val="clear" w:color="auto" w:fill="auto"/>
            <w:hideMark/>
          </w:tcPr>
          <w:p w14:paraId="7F8FF73D" w14:textId="676E35D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528" w:type="pct"/>
            <w:shd w:val="clear" w:color="auto" w:fill="auto"/>
            <w:hideMark/>
          </w:tcPr>
          <w:p w14:paraId="510CDBD7" w14:textId="53DF74D8"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r>
      <w:tr w:rsidR="00C95C3A" w:rsidRPr="00B50EC0" w14:paraId="1A94930E" w14:textId="77777777" w:rsidTr="0068110C">
        <w:trPr>
          <w:cantSplit/>
        </w:trPr>
        <w:tc>
          <w:tcPr>
            <w:tcW w:w="806" w:type="pct"/>
            <w:shd w:val="clear" w:color="auto" w:fill="auto"/>
            <w:hideMark/>
          </w:tcPr>
          <w:p w14:paraId="324D2509" w14:textId="77777777" w:rsidR="00600229" w:rsidRPr="00B50EC0" w:rsidRDefault="00600229" w:rsidP="004B7A55">
            <w:pPr>
              <w:spacing w:before="100" w:after="56" w:line="256" w:lineRule="auto"/>
              <w:ind w:firstLine="165"/>
              <w:rPr>
                <w:rFonts w:ascii="Aptos" w:hAnsi="Aptos"/>
                <w:sz w:val="15"/>
                <w:szCs w:val="15"/>
              </w:rPr>
            </w:pPr>
            <w:r w:rsidRPr="00B50EC0">
              <w:rPr>
                <w:rFonts w:ascii="Aptos" w:hAnsi="Aptos"/>
                <w:sz w:val="15"/>
                <w:szCs w:val="15"/>
              </w:rPr>
              <w:t>Shrub</w:t>
            </w:r>
          </w:p>
        </w:tc>
        <w:tc>
          <w:tcPr>
            <w:tcW w:w="683" w:type="pct"/>
            <w:shd w:val="clear" w:color="auto" w:fill="auto"/>
            <w:hideMark/>
          </w:tcPr>
          <w:p w14:paraId="54928709" w14:textId="5279C540"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1118" w:type="pct"/>
            <w:shd w:val="clear" w:color="auto" w:fill="auto"/>
            <w:hideMark/>
          </w:tcPr>
          <w:p w14:paraId="14534A06" w14:textId="77777777" w:rsidR="00600229" w:rsidRPr="00B50EC0" w:rsidRDefault="00600229" w:rsidP="00C80808">
            <w:pPr>
              <w:spacing w:before="100" w:after="56" w:line="256" w:lineRule="auto"/>
              <w:jc w:val="center"/>
              <w:rPr>
                <w:rFonts w:ascii="Aptos" w:hAnsi="Aptos"/>
                <w:sz w:val="15"/>
                <w:szCs w:val="15"/>
              </w:rPr>
            </w:pPr>
            <w:r w:rsidRPr="00B50EC0">
              <w:rPr>
                <w:rFonts w:ascii="Aptos" w:hAnsi="Aptos"/>
                <w:sz w:val="15"/>
                <w:szCs w:val="15"/>
              </w:rPr>
              <w:t>10 ft</w:t>
            </w:r>
          </w:p>
        </w:tc>
        <w:tc>
          <w:tcPr>
            <w:tcW w:w="622" w:type="pct"/>
            <w:shd w:val="clear" w:color="auto" w:fill="auto"/>
            <w:hideMark/>
          </w:tcPr>
          <w:p w14:paraId="5A4B9548" w14:textId="0F6B23DC"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621" w:type="pct"/>
            <w:shd w:val="clear" w:color="auto" w:fill="auto"/>
            <w:hideMark/>
          </w:tcPr>
          <w:p w14:paraId="20AAC17A" w14:textId="44E0F53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621" w:type="pct"/>
            <w:shd w:val="clear" w:color="auto" w:fill="auto"/>
            <w:hideMark/>
          </w:tcPr>
          <w:p w14:paraId="51CD2263" w14:textId="0A145E30"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528" w:type="pct"/>
            <w:shd w:val="clear" w:color="auto" w:fill="auto"/>
            <w:hideMark/>
          </w:tcPr>
          <w:p w14:paraId="45AD0B3A" w14:textId="1D15440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r>
      <w:tr w:rsidR="00C95C3A" w:rsidRPr="00B50EC0" w14:paraId="1C53BF36" w14:textId="77777777" w:rsidTr="0068110C">
        <w:trPr>
          <w:cantSplit/>
        </w:trPr>
        <w:tc>
          <w:tcPr>
            <w:tcW w:w="806" w:type="pct"/>
            <w:shd w:val="clear" w:color="auto" w:fill="auto"/>
            <w:hideMark/>
          </w:tcPr>
          <w:p w14:paraId="50DA318A" w14:textId="77777777" w:rsidR="00600229" w:rsidRPr="00B50EC0" w:rsidRDefault="00600229" w:rsidP="004B7A55">
            <w:pPr>
              <w:spacing w:before="100" w:after="56" w:line="256" w:lineRule="auto"/>
              <w:rPr>
                <w:rFonts w:ascii="Aptos" w:hAnsi="Aptos"/>
                <w:color w:val="ED7D31" w:themeColor="accent2"/>
                <w:sz w:val="15"/>
                <w:szCs w:val="15"/>
              </w:rPr>
            </w:pPr>
            <w:r w:rsidRPr="00B50EC0">
              <w:rPr>
                <w:rFonts w:ascii="Aptos" w:hAnsi="Aptos"/>
                <w:color w:val="ED7D31" w:themeColor="accent2"/>
                <w:sz w:val="15"/>
                <w:szCs w:val="15"/>
              </w:rPr>
              <w:t>Rear yard setbacks</w:t>
            </w:r>
          </w:p>
        </w:tc>
        <w:tc>
          <w:tcPr>
            <w:tcW w:w="683" w:type="pct"/>
            <w:shd w:val="clear" w:color="auto" w:fill="auto"/>
            <w:hideMark/>
          </w:tcPr>
          <w:p w14:paraId="5DAB507A" w14:textId="2490FFB1"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40ft</w:t>
            </w:r>
          </w:p>
        </w:tc>
        <w:tc>
          <w:tcPr>
            <w:tcW w:w="1118" w:type="pct"/>
            <w:shd w:val="clear" w:color="auto" w:fill="auto"/>
          </w:tcPr>
          <w:p w14:paraId="103B2DE4" w14:textId="4A75BA4D"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Standard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30ft</w:t>
            </w:r>
          </w:p>
          <w:p w14:paraId="495C47F0" w14:textId="5266BD37"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Conservation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25ft</w:t>
            </w:r>
          </w:p>
        </w:tc>
        <w:tc>
          <w:tcPr>
            <w:tcW w:w="622" w:type="pct"/>
            <w:shd w:val="clear" w:color="auto" w:fill="auto"/>
            <w:hideMark/>
          </w:tcPr>
          <w:p w14:paraId="7440A04B" w14:textId="6AD884CA"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30ft</w:t>
            </w:r>
          </w:p>
        </w:tc>
        <w:tc>
          <w:tcPr>
            <w:tcW w:w="621" w:type="pct"/>
            <w:shd w:val="clear" w:color="auto" w:fill="auto"/>
            <w:hideMark/>
          </w:tcPr>
          <w:p w14:paraId="6E5262D7" w14:textId="77777777"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30 ft</w:t>
            </w:r>
          </w:p>
        </w:tc>
        <w:tc>
          <w:tcPr>
            <w:tcW w:w="621" w:type="pct"/>
            <w:shd w:val="clear" w:color="auto" w:fill="auto"/>
            <w:hideMark/>
          </w:tcPr>
          <w:p w14:paraId="69A6CD36" w14:textId="4A6E0C30"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15ft</w:t>
            </w:r>
            <w:r w:rsidRPr="00B50EC0">
              <w:rPr>
                <w:rFonts w:ascii="Aptos" w:hAnsi="Aptos"/>
                <w:color w:val="ED7D31" w:themeColor="accent2"/>
                <w:sz w:val="15"/>
                <w:szCs w:val="15"/>
                <w:vertAlign w:val="superscript"/>
              </w:rPr>
              <w:t>6</w:t>
            </w:r>
          </w:p>
        </w:tc>
        <w:tc>
          <w:tcPr>
            <w:tcW w:w="528" w:type="pct"/>
            <w:shd w:val="clear" w:color="auto" w:fill="auto"/>
            <w:hideMark/>
          </w:tcPr>
          <w:p w14:paraId="3F1B7B3E" w14:textId="41B02200"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15ft</w:t>
            </w:r>
            <w:r w:rsidRPr="00B50EC0">
              <w:rPr>
                <w:rFonts w:ascii="Aptos" w:hAnsi="Aptos"/>
                <w:color w:val="ED7D31" w:themeColor="accent2"/>
                <w:sz w:val="15"/>
                <w:szCs w:val="15"/>
                <w:vertAlign w:val="superscript"/>
              </w:rPr>
              <w:t>6</w:t>
            </w:r>
          </w:p>
        </w:tc>
      </w:tr>
      <w:tr w:rsidR="00C95C3A" w:rsidRPr="00B50EC0" w14:paraId="246952B4" w14:textId="77777777" w:rsidTr="0068110C">
        <w:trPr>
          <w:cantSplit/>
        </w:trPr>
        <w:tc>
          <w:tcPr>
            <w:tcW w:w="806" w:type="pct"/>
            <w:shd w:val="clear" w:color="auto" w:fill="auto"/>
            <w:hideMark/>
          </w:tcPr>
          <w:p w14:paraId="53DB2B3F" w14:textId="77777777" w:rsidR="00600229" w:rsidRPr="00B50EC0" w:rsidRDefault="00600229" w:rsidP="004B7A55">
            <w:pPr>
              <w:spacing w:before="100" w:after="56" w:line="256" w:lineRule="auto"/>
              <w:ind w:firstLine="165"/>
              <w:rPr>
                <w:rFonts w:ascii="Aptos" w:hAnsi="Aptos"/>
                <w:sz w:val="15"/>
                <w:szCs w:val="15"/>
              </w:rPr>
            </w:pPr>
            <w:r w:rsidRPr="00B50EC0">
              <w:rPr>
                <w:rFonts w:ascii="Aptos" w:hAnsi="Aptos"/>
                <w:sz w:val="15"/>
                <w:szCs w:val="15"/>
              </w:rPr>
              <w:t>Tree</w:t>
            </w:r>
          </w:p>
        </w:tc>
        <w:tc>
          <w:tcPr>
            <w:tcW w:w="683" w:type="pct"/>
            <w:shd w:val="clear" w:color="auto" w:fill="auto"/>
            <w:hideMark/>
          </w:tcPr>
          <w:p w14:paraId="1A16E54F" w14:textId="69AE022A"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1118" w:type="pct"/>
            <w:shd w:val="clear" w:color="auto" w:fill="auto"/>
            <w:hideMark/>
          </w:tcPr>
          <w:p w14:paraId="7B67BDDE" w14:textId="77777777" w:rsidR="00600229" w:rsidRPr="00B50EC0" w:rsidRDefault="00600229" w:rsidP="00C80808">
            <w:pPr>
              <w:spacing w:before="100" w:after="56" w:line="256" w:lineRule="auto"/>
              <w:jc w:val="center"/>
              <w:rPr>
                <w:rFonts w:ascii="Aptos" w:hAnsi="Aptos"/>
                <w:sz w:val="15"/>
                <w:szCs w:val="15"/>
              </w:rPr>
            </w:pPr>
            <w:r w:rsidRPr="00B50EC0">
              <w:rPr>
                <w:rFonts w:ascii="Aptos" w:hAnsi="Aptos"/>
                <w:sz w:val="15"/>
                <w:szCs w:val="15"/>
              </w:rPr>
              <w:t>20 ft</w:t>
            </w:r>
          </w:p>
        </w:tc>
        <w:tc>
          <w:tcPr>
            <w:tcW w:w="622" w:type="pct"/>
            <w:shd w:val="clear" w:color="auto" w:fill="auto"/>
            <w:hideMark/>
          </w:tcPr>
          <w:p w14:paraId="55EBFA5D" w14:textId="02D9CE39"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621" w:type="pct"/>
            <w:shd w:val="clear" w:color="auto" w:fill="auto"/>
            <w:hideMark/>
          </w:tcPr>
          <w:p w14:paraId="58F0A06B" w14:textId="052C0D49"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621" w:type="pct"/>
            <w:shd w:val="clear" w:color="auto" w:fill="auto"/>
            <w:hideMark/>
          </w:tcPr>
          <w:p w14:paraId="22471286" w14:textId="7AD6627A"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c>
          <w:tcPr>
            <w:tcW w:w="528" w:type="pct"/>
            <w:shd w:val="clear" w:color="auto" w:fill="auto"/>
            <w:hideMark/>
          </w:tcPr>
          <w:p w14:paraId="1B9E5681" w14:textId="4AD753A1"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20ft</w:t>
            </w:r>
          </w:p>
        </w:tc>
      </w:tr>
      <w:tr w:rsidR="00C95C3A" w:rsidRPr="00B50EC0" w14:paraId="701DAC12" w14:textId="77777777" w:rsidTr="0068110C">
        <w:trPr>
          <w:cantSplit/>
        </w:trPr>
        <w:tc>
          <w:tcPr>
            <w:tcW w:w="806" w:type="pct"/>
            <w:shd w:val="clear" w:color="auto" w:fill="auto"/>
            <w:hideMark/>
          </w:tcPr>
          <w:p w14:paraId="779693EF" w14:textId="77777777" w:rsidR="00600229" w:rsidRPr="00B50EC0" w:rsidRDefault="00600229" w:rsidP="004B7A55">
            <w:pPr>
              <w:spacing w:before="100" w:after="56" w:line="256" w:lineRule="auto"/>
              <w:ind w:firstLine="165"/>
              <w:rPr>
                <w:rFonts w:ascii="Aptos" w:hAnsi="Aptos"/>
                <w:sz w:val="15"/>
                <w:szCs w:val="15"/>
              </w:rPr>
            </w:pPr>
            <w:r w:rsidRPr="00B50EC0">
              <w:rPr>
                <w:rFonts w:ascii="Aptos" w:hAnsi="Aptos"/>
                <w:sz w:val="15"/>
                <w:szCs w:val="15"/>
              </w:rPr>
              <w:t>Shrub</w:t>
            </w:r>
          </w:p>
        </w:tc>
        <w:tc>
          <w:tcPr>
            <w:tcW w:w="683" w:type="pct"/>
            <w:shd w:val="clear" w:color="auto" w:fill="auto"/>
            <w:hideMark/>
          </w:tcPr>
          <w:p w14:paraId="66B64224" w14:textId="5395EF6E"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1118" w:type="pct"/>
            <w:shd w:val="clear" w:color="auto" w:fill="auto"/>
            <w:hideMark/>
          </w:tcPr>
          <w:p w14:paraId="791444E7" w14:textId="77777777" w:rsidR="00600229" w:rsidRPr="00B50EC0" w:rsidRDefault="00600229" w:rsidP="00C80808">
            <w:pPr>
              <w:spacing w:before="100" w:after="56" w:line="256" w:lineRule="auto"/>
              <w:jc w:val="center"/>
              <w:rPr>
                <w:rFonts w:ascii="Aptos" w:hAnsi="Aptos"/>
                <w:sz w:val="15"/>
                <w:szCs w:val="15"/>
              </w:rPr>
            </w:pPr>
            <w:r w:rsidRPr="00B50EC0">
              <w:rPr>
                <w:rFonts w:ascii="Aptos" w:hAnsi="Aptos"/>
                <w:sz w:val="15"/>
                <w:szCs w:val="15"/>
              </w:rPr>
              <w:t>10 ft</w:t>
            </w:r>
          </w:p>
        </w:tc>
        <w:tc>
          <w:tcPr>
            <w:tcW w:w="622" w:type="pct"/>
            <w:shd w:val="clear" w:color="auto" w:fill="auto"/>
            <w:hideMark/>
          </w:tcPr>
          <w:p w14:paraId="19A44C5A" w14:textId="6ED88100"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621" w:type="pct"/>
            <w:shd w:val="clear" w:color="auto" w:fill="auto"/>
            <w:hideMark/>
          </w:tcPr>
          <w:p w14:paraId="4F11EB0A" w14:textId="060655E2"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621" w:type="pct"/>
            <w:shd w:val="clear" w:color="auto" w:fill="auto"/>
            <w:hideMark/>
          </w:tcPr>
          <w:p w14:paraId="7D72D05F" w14:textId="0D8CE8BF"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10ft</w:t>
            </w:r>
          </w:p>
        </w:tc>
        <w:tc>
          <w:tcPr>
            <w:tcW w:w="528" w:type="pct"/>
            <w:shd w:val="clear" w:color="auto" w:fill="auto"/>
            <w:hideMark/>
          </w:tcPr>
          <w:p w14:paraId="38B0C260" w14:textId="45C8FE79" w:rsidR="00600229" w:rsidRPr="00B50EC0" w:rsidRDefault="00600229" w:rsidP="0068110C">
            <w:pPr>
              <w:spacing w:before="100" w:after="56" w:line="256" w:lineRule="auto"/>
              <w:jc w:val="center"/>
              <w:rPr>
                <w:rFonts w:ascii="Aptos" w:hAnsi="Aptos"/>
                <w:sz w:val="15"/>
                <w:szCs w:val="15"/>
              </w:rPr>
            </w:pPr>
            <w:r w:rsidRPr="00B50EC0">
              <w:rPr>
                <w:rFonts w:ascii="Aptos" w:hAnsi="Aptos"/>
                <w:sz w:val="15"/>
                <w:szCs w:val="15"/>
              </w:rPr>
              <w:t>10ft</w:t>
            </w:r>
          </w:p>
        </w:tc>
      </w:tr>
      <w:tr w:rsidR="00C95C3A" w:rsidRPr="00B50EC0" w14:paraId="39C2FF3C" w14:textId="77777777" w:rsidTr="0068110C">
        <w:trPr>
          <w:cantSplit/>
        </w:trPr>
        <w:tc>
          <w:tcPr>
            <w:tcW w:w="806" w:type="pct"/>
            <w:shd w:val="clear" w:color="auto" w:fill="auto"/>
            <w:hideMark/>
          </w:tcPr>
          <w:p w14:paraId="3D5F2E84" w14:textId="77777777" w:rsidR="00600229" w:rsidRPr="00B50EC0" w:rsidRDefault="00600229" w:rsidP="004B7A55">
            <w:pPr>
              <w:spacing w:before="100" w:after="56" w:line="256" w:lineRule="auto"/>
              <w:rPr>
                <w:rFonts w:ascii="Aptos" w:hAnsi="Aptos"/>
                <w:color w:val="ED7D31" w:themeColor="accent2"/>
                <w:sz w:val="15"/>
                <w:szCs w:val="15"/>
              </w:rPr>
            </w:pPr>
            <w:r w:rsidRPr="00B50EC0">
              <w:rPr>
                <w:rFonts w:ascii="Aptos" w:hAnsi="Aptos"/>
                <w:color w:val="ED7D31" w:themeColor="accent2"/>
                <w:sz w:val="15"/>
                <w:szCs w:val="15"/>
              </w:rPr>
              <w:t>Accessory structure setbacks</w:t>
            </w:r>
          </w:p>
        </w:tc>
        <w:tc>
          <w:tcPr>
            <w:tcW w:w="683" w:type="pct"/>
            <w:shd w:val="clear" w:color="auto" w:fill="auto"/>
            <w:hideMark/>
          </w:tcPr>
          <w:p w14:paraId="07886116" w14:textId="3A0F3790"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75ft</w:t>
            </w:r>
          </w:p>
          <w:p w14:paraId="16014862" w14:textId="77777777" w:rsidR="00600229" w:rsidRPr="00B50EC0" w:rsidRDefault="00600229" w:rsidP="00C80808">
            <w:pPr>
              <w:spacing w:before="100" w:after="56" w:line="256" w:lineRule="auto"/>
              <w:jc w:val="center"/>
              <w:rPr>
                <w:rFonts w:ascii="Aptos" w:hAnsi="Aptos"/>
                <w:color w:val="ED7D31" w:themeColor="accent2"/>
                <w:sz w:val="15"/>
                <w:szCs w:val="15"/>
              </w:rPr>
            </w:pPr>
          </w:p>
          <w:p w14:paraId="4A42A4B4" w14:textId="77777777" w:rsidR="00600229" w:rsidRPr="00B50EC0" w:rsidRDefault="00600229" w:rsidP="00C80808">
            <w:pPr>
              <w:spacing w:before="100" w:after="56" w:line="256" w:lineRule="auto"/>
              <w:jc w:val="center"/>
              <w:rPr>
                <w:rFonts w:ascii="Aptos" w:hAnsi="Aptos"/>
                <w:color w:val="ED7D31" w:themeColor="accent2"/>
                <w:sz w:val="15"/>
                <w:szCs w:val="15"/>
              </w:rPr>
            </w:pPr>
          </w:p>
          <w:p w14:paraId="79B563B4" w14:textId="74D358AA"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20ft</w:t>
            </w:r>
            <w:r w:rsidR="004A07EE" w:rsidRPr="00B50EC0">
              <w:rPr>
                <w:rFonts w:ascii="Aptos" w:hAnsi="Aptos"/>
                <w:color w:val="ED7D31" w:themeColor="accent2"/>
                <w:sz w:val="15"/>
                <w:szCs w:val="15"/>
              </w:rPr>
              <w:t>*</w:t>
            </w:r>
          </w:p>
        </w:tc>
        <w:tc>
          <w:tcPr>
            <w:tcW w:w="1118" w:type="pct"/>
            <w:shd w:val="clear" w:color="auto" w:fill="auto"/>
          </w:tcPr>
          <w:p w14:paraId="3EBEFA2F" w14:textId="77777777" w:rsidR="00600229" w:rsidRPr="00B50EC0" w:rsidRDefault="00600229" w:rsidP="00C80808">
            <w:pPr>
              <w:spacing w:before="100" w:line="256" w:lineRule="auto"/>
              <w:jc w:val="center"/>
              <w:rPr>
                <w:rFonts w:ascii="Aptos" w:hAnsi="Aptos"/>
                <w:b/>
                <w:color w:val="ED7D31" w:themeColor="accent2"/>
                <w:sz w:val="15"/>
                <w:szCs w:val="15"/>
                <w:u w:val="single"/>
              </w:rPr>
            </w:pPr>
            <w:r w:rsidRPr="00B50EC0">
              <w:rPr>
                <w:rFonts w:ascii="Aptos" w:hAnsi="Aptos"/>
                <w:b/>
                <w:color w:val="ED7D31" w:themeColor="accent2"/>
                <w:sz w:val="15"/>
                <w:szCs w:val="15"/>
                <w:u w:val="single"/>
              </w:rPr>
              <w:t>Front:</w:t>
            </w:r>
          </w:p>
          <w:p w14:paraId="3F90B86A" w14:textId="5059B413"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Standard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40ft</w:t>
            </w:r>
          </w:p>
          <w:p w14:paraId="2DFF7E18" w14:textId="29F0A087"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Conservation </w:t>
            </w:r>
            <w:r w:rsidR="009A11EC" w:rsidRPr="00B50EC0">
              <w:rPr>
                <w:rFonts w:ascii="Aptos" w:hAnsi="Aptos"/>
                <w:color w:val="ED7D31" w:themeColor="accent2"/>
                <w:sz w:val="15"/>
                <w:szCs w:val="15"/>
              </w:rPr>
              <w:t>Lots</w:t>
            </w:r>
            <w:r w:rsidRPr="00B50EC0">
              <w:rPr>
                <w:rFonts w:ascii="Aptos" w:hAnsi="Aptos"/>
                <w:color w:val="ED7D31" w:themeColor="accent2"/>
                <w:sz w:val="15"/>
                <w:szCs w:val="15"/>
              </w:rPr>
              <w:t>: 30ft from interior road</w:t>
            </w:r>
          </w:p>
          <w:p w14:paraId="61420131" w14:textId="4777EDE7" w:rsidR="00B50EC0" w:rsidRPr="00B50EC0" w:rsidRDefault="00B50EC0" w:rsidP="00C80808">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 xml:space="preserve">All lot - </w:t>
            </w:r>
            <w:r w:rsidRPr="00B50EC0">
              <w:rPr>
                <w:rFonts w:ascii="Aptos" w:hAnsi="Aptos"/>
                <w:color w:val="ED7D31" w:themeColor="accent2"/>
                <w:sz w:val="15"/>
                <w:szCs w:val="15"/>
              </w:rPr>
              <w:t>*50ft in SO; **25ft from private road</w:t>
            </w:r>
          </w:p>
          <w:p w14:paraId="3D95326A" w14:textId="0F4B2F6A" w:rsidR="00600229" w:rsidRPr="00B50EC0" w:rsidRDefault="00600229" w:rsidP="00C80808">
            <w:pPr>
              <w:spacing w:before="100" w:after="56"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15ft</w:t>
            </w:r>
          </w:p>
        </w:tc>
        <w:tc>
          <w:tcPr>
            <w:tcW w:w="622" w:type="pct"/>
            <w:shd w:val="clear" w:color="auto" w:fill="auto"/>
            <w:hideMark/>
          </w:tcPr>
          <w:p w14:paraId="1FBBE23A" w14:textId="0B379840"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p w14:paraId="05E29D1F" w14:textId="77777777" w:rsidR="00C95C3A" w:rsidRPr="00B50EC0" w:rsidRDefault="00C95C3A" w:rsidP="004B7A55">
            <w:pPr>
              <w:spacing w:before="100" w:after="56" w:line="256" w:lineRule="auto"/>
              <w:jc w:val="center"/>
              <w:rPr>
                <w:rFonts w:ascii="Aptos" w:hAnsi="Aptos"/>
                <w:color w:val="ED7D31" w:themeColor="accent2"/>
                <w:sz w:val="15"/>
                <w:szCs w:val="15"/>
              </w:rPr>
            </w:pPr>
          </w:p>
          <w:p w14:paraId="61B25DC4" w14:textId="77777777" w:rsidR="00C95C3A" w:rsidRPr="00B50EC0" w:rsidRDefault="00C95C3A" w:rsidP="00C95C3A">
            <w:pPr>
              <w:spacing w:before="100" w:after="56" w:line="256" w:lineRule="auto"/>
              <w:jc w:val="center"/>
              <w:rPr>
                <w:rFonts w:ascii="Aptos" w:hAnsi="Aptos"/>
                <w:b/>
                <w:color w:val="ED7D31" w:themeColor="accent2"/>
                <w:sz w:val="15"/>
                <w:szCs w:val="15"/>
                <w:u w:val="single"/>
              </w:rPr>
            </w:pPr>
          </w:p>
          <w:p w14:paraId="12C40830" w14:textId="20C6F1D1" w:rsidR="00C95C3A" w:rsidRPr="00B50EC0" w:rsidRDefault="00C95C3A" w:rsidP="00C95C3A">
            <w:pPr>
              <w:spacing w:before="100"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xml:space="preserve">: 20ft </w:t>
            </w:r>
          </w:p>
          <w:p w14:paraId="057AE711" w14:textId="77777777" w:rsidR="00C95C3A" w:rsidRPr="00B50EC0" w:rsidRDefault="00C95C3A" w:rsidP="00C95C3A">
            <w:pPr>
              <w:spacing w:line="256" w:lineRule="auto"/>
              <w:jc w:val="center"/>
              <w:rPr>
                <w:rFonts w:ascii="Aptos" w:hAnsi="Aptos"/>
                <w:color w:val="ED7D31" w:themeColor="accent2"/>
                <w:sz w:val="15"/>
                <w:szCs w:val="15"/>
              </w:rPr>
            </w:pPr>
            <w:r w:rsidRPr="00B50EC0">
              <w:rPr>
                <w:rFonts w:ascii="Aptos" w:hAnsi="Aptos"/>
                <w:color w:val="ED7D31" w:themeColor="accent2"/>
                <w:sz w:val="15"/>
                <w:szCs w:val="15"/>
              </w:rPr>
              <w:t>(10 ft if structure ≤100)</w:t>
            </w:r>
          </w:p>
        </w:tc>
        <w:tc>
          <w:tcPr>
            <w:tcW w:w="621" w:type="pct"/>
            <w:shd w:val="clear" w:color="auto" w:fill="auto"/>
            <w:hideMark/>
          </w:tcPr>
          <w:p w14:paraId="56FF318B" w14:textId="3C196098"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35ft</w:t>
            </w:r>
          </w:p>
          <w:p w14:paraId="171C8E72" w14:textId="77777777" w:rsidR="00C95C3A" w:rsidRPr="00B50EC0" w:rsidRDefault="00C95C3A" w:rsidP="004B7A55">
            <w:pPr>
              <w:spacing w:before="100" w:after="56" w:line="256" w:lineRule="auto"/>
              <w:jc w:val="center"/>
              <w:rPr>
                <w:rFonts w:ascii="Aptos" w:hAnsi="Aptos"/>
                <w:color w:val="ED7D31" w:themeColor="accent2"/>
                <w:sz w:val="15"/>
                <w:szCs w:val="15"/>
              </w:rPr>
            </w:pPr>
          </w:p>
          <w:p w14:paraId="3D9162F0" w14:textId="77777777" w:rsidR="00C95C3A" w:rsidRPr="00B50EC0" w:rsidRDefault="00C95C3A" w:rsidP="004B7A55">
            <w:pPr>
              <w:spacing w:before="100" w:after="56" w:line="256" w:lineRule="auto"/>
              <w:jc w:val="center"/>
              <w:rPr>
                <w:rFonts w:ascii="Aptos" w:hAnsi="Aptos"/>
                <w:color w:val="ED7D31" w:themeColor="accent2"/>
                <w:sz w:val="15"/>
                <w:szCs w:val="15"/>
              </w:rPr>
            </w:pPr>
          </w:p>
          <w:p w14:paraId="0D8D5B85" w14:textId="1E46E4DF" w:rsidR="00C95C3A" w:rsidRPr="00B50EC0" w:rsidRDefault="00C95C3A" w:rsidP="00C95C3A">
            <w:pPr>
              <w:spacing w:before="100"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xml:space="preserve">: 20ft </w:t>
            </w:r>
          </w:p>
          <w:p w14:paraId="02FCB7FD" w14:textId="77777777" w:rsidR="00C95C3A" w:rsidRPr="00B50EC0" w:rsidRDefault="00C95C3A" w:rsidP="00C95C3A">
            <w:pPr>
              <w:spacing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(10 ft if structure ≤100)</w:t>
            </w:r>
          </w:p>
        </w:tc>
        <w:tc>
          <w:tcPr>
            <w:tcW w:w="621" w:type="pct"/>
            <w:shd w:val="clear" w:color="auto" w:fill="auto"/>
            <w:hideMark/>
          </w:tcPr>
          <w:p w14:paraId="342B2101" w14:textId="71C995C4" w:rsidR="00C95C3A" w:rsidRPr="00B50EC0" w:rsidRDefault="00600229" w:rsidP="00C95C3A">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p w14:paraId="759DF0C3" w14:textId="77777777" w:rsidR="00C95C3A" w:rsidRPr="00B50EC0" w:rsidRDefault="00C95C3A" w:rsidP="00C95C3A">
            <w:pPr>
              <w:spacing w:before="100" w:after="56" w:line="256" w:lineRule="auto"/>
              <w:jc w:val="center"/>
              <w:rPr>
                <w:rFonts w:ascii="Aptos" w:hAnsi="Aptos"/>
                <w:color w:val="ED7D31" w:themeColor="accent2"/>
                <w:sz w:val="15"/>
                <w:szCs w:val="15"/>
              </w:rPr>
            </w:pPr>
          </w:p>
          <w:p w14:paraId="472A7209" w14:textId="77777777" w:rsidR="00C95C3A" w:rsidRPr="00B50EC0" w:rsidRDefault="00C95C3A" w:rsidP="00C95C3A">
            <w:pPr>
              <w:spacing w:before="100" w:after="56" w:line="256" w:lineRule="auto"/>
              <w:jc w:val="center"/>
              <w:rPr>
                <w:rFonts w:ascii="Aptos" w:hAnsi="Aptos"/>
                <w:color w:val="ED7D31" w:themeColor="accent2"/>
                <w:sz w:val="15"/>
                <w:szCs w:val="15"/>
              </w:rPr>
            </w:pPr>
          </w:p>
          <w:p w14:paraId="42658D39" w14:textId="649AB60C" w:rsidR="00C95C3A" w:rsidRPr="00B50EC0" w:rsidRDefault="00C95C3A" w:rsidP="00C95C3A">
            <w:pPr>
              <w:spacing w:before="100"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xml:space="preserve">: 20ft </w:t>
            </w:r>
          </w:p>
          <w:p w14:paraId="4CE7A843" w14:textId="77777777" w:rsidR="00C95C3A" w:rsidRPr="00B50EC0" w:rsidRDefault="00C95C3A" w:rsidP="00C95C3A">
            <w:pPr>
              <w:spacing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(10 ft if structure ≤100)</w:t>
            </w:r>
          </w:p>
        </w:tc>
        <w:tc>
          <w:tcPr>
            <w:tcW w:w="528" w:type="pct"/>
            <w:shd w:val="clear" w:color="auto" w:fill="auto"/>
            <w:hideMark/>
          </w:tcPr>
          <w:p w14:paraId="6E2EE309" w14:textId="349B887A" w:rsidR="00600229" w:rsidRPr="00B50EC0" w:rsidRDefault="00600229" w:rsidP="004B7A55">
            <w:pPr>
              <w:spacing w:before="100" w:after="56" w:line="256" w:lineRule="auto"/>
              <w:jc w:val="center"/>
              <w:rPr>
                <w:rFonts w:ascii="Aptos" w:hAnsi="Aptos"/>
                <w:color w:val="ED7D31" w:themeColor="accent2"/>
                <w:sz w:val="15"/>
                <w:szCs w:val="15"/>
              </w:rPr>
            </w:pPr>
            <w:r w:rsidRPr="00B50EC0">
              <w:rPr>
                <w:rFonts w:ascii="Aptos" w:hAnsi="Aptos"/>
                <w:color w:val="ED7D31" w:themeColor="accent2"/>
                <w:sz w:val="15"/>
                <w:szCs w:val="15"/>
              </w:rPr>
              <w:t>50ft</w:t>
            </w:r>
          </w:p>
          <w:p w14:paraId="17C8C22A" w14:textId="77777777" w:rsidR="00C95C3A" w:rsidRPr="00B50EC0" w:rsidRDefault="00C95C3A" w:rsidP="004B7A55">
            <w:pPr>
              <w:spacing w:before="100" w:after="56" w:line="256" w:lineRule="auto"/>
              <w:jc w:val="center"/>
              <w:rPr>
                <w:rFonts w:ascii="Aptos" w:hAnsi="Aptos"/>
                <w:b/>
                <w:color w:val="ED7D31" w:themeColor="accent2"/>
                <w:sz w:val="15"/>
                <w:szCs w:val="15"/>
                <w:u w:val="single"/>
              </w:rPr>
            </w:pPr>
          </w:p>
          <w:p w14:paraId="0BCD7C55" w14:textId="77777777" w:rsidR="00C95C3A" w:rsidRPr="00B50EC0" w:rsidRDefault="00C95C3A" w:rsidP="00C95C3A">
            <w:pPr>
              <w:spacing w:before="100" w:after="56" w:line="256" w:lineRule="auto"/>
              <w:jc w:val="center"/>
              <w:rPr>
                <w:rFonts w:ascii="Aptos" w:hAnsi="Aptos"/>
                <w:b/>
                <w:color w:val="ED7D31" w:themeColor="accent2"/>
                <w:sz w:val="15"/>
                <w:szCs w:val="15"/>
                <w:u w:val="single"/>
              </w:rPr>
            </w:pPr>
          </w:p>
          <w:p w14:paraId="65278FC2" w14:textId="71BC6C7C" w:rsidR="00C95C3A" w:rsidRPr="00B50EC0" w:rsidRDefault="00C95C3A" w:rsidP="00C95C3A">
            <w:pPr>
              <w:spacing w:before="100" w:after="56" w:line="256" w:lineRule="auto"/>
              <w:jc w:val="center"/>
              <w:rPr>
                <w:rFonts w:ascii="Aptos" w:hAnsi="Aptos"/>
                <w:color w:val="ED7D31" w:themeColor="accent2"/>
                <w:sz w:val="15"/>
                <w:szCs w:val="15"/>
              </w:rPr>
            </w:pPr>
            <w:r w:rsidRPr="00B50EC0">
              <w:rPr>
                <w:rFonts w:ascii="Aptos" w:hAnsi="Aptos"/>
                <w:b/>
                <w:color w:val="ED7D31" w:themeColor="accent2"/>
                <w:sz w:val="15"/>
                <w:szCs w:val="15"/>
                <w:u w:val="single"/>
              </w:rPr>
              <w:t>Side &amp; Rear</w:t>
            </w:r>
            <w:r w:rsidRPr="00B50EC0">
              <w:rPr>
                <w:rFonts w:ascii="Aptos" w:hAnsi="Aptos"/>
                <w:color w:val="ED7D31" w:themeColor="accent2"/>
                <w:sz w:val="15"/>
                <w:szCs w:val="15"/>
              </w:rPr>
              <w:t>: 10ft</w:t>
            </w:r>
          </w:p>
        </w:tc>
      </w:tr>
      <w:tr w:rsidR="00C95C3A" w:rsidRPr="00B50EC0" w14:paraId="2AC4F43E" w14:textId="77777777" w:rsidTr="0068110C">
        <w:trPr>
          <w:cantSplit/>
        </w:trPr>
        <w:tc>
          <w:tcPr>
            <w:tcW w:w="806" w:type="pct"/>
            <w:hideMark/>
          </w:tcPr>
          <w:p w14:paraId="08C68102" w14:textId="77777777" w:rsidR="00600229" w:rsidRPr="00B50EC0" w:rsidRDefault="00600229" w:rsidP="004B7A55">
            <w:pPr>
              <w:spacing w:before="100" w:after="56" w:line="256" w:lineRule="auto"/>
              <w:rPr>
                <w:rFonts w:ascii="Aptos" w:hAnsi="Aptos"/>
                <w:sz w:val="15"/>
                <w:szCs w:val="15"/>
              </w:rPr>
            </w:pPr>
            <w:r w:rsidRPr="00B50EC0">
              <w:rPr>
                <w:rFonts w:ascii="Aptos" w:hAnsi="Aptos"/>
                <w:sz w:val="15"/>
                <w:szCs w:val="15"/>
              </w:rPr>
              <w:t>Maximum impervious coverage</w:t>
            </w:r>
          </w:p>
        </w:tc>
        <w:tc>
          <w:tcPr>
            <w:tcW w:w="683" w:type="pct"/>
            <w:hideMark/>
          </w:tcPr>
          <w:p w14:paraId="424FE5E5" w14:textId="77777777" w:rsidR="00600229" w:rsidRPr="00B50EC0" w:rsidRDefault="004A07EE" w:rsidP="004B7A55">
            <w:pPr>
              <w:spacing w:before="100" w:after="56" w:line="256" w:lineRule="auto"/>
              <w:jc w:val="center"/>
              <w:rPr>
                <w:rFonts w:ascii="Aptos" w:hAnsi="Aptos"/>
                <w:sz w:val="15"/>
                <w:szCs w:val="15"/>
              </w:rPr>
            </w:pPr>
            <w:r w:rsidRPr="00B50EC0">
              <w:rPr>
                <w:rFonts w:ascii="Aptos" w:hAnsi="Aptos"/>
                <w:sz w:val="15"/>
                <w:szCs w:val="15"/>
              </w:rPr>
              <w:t>None</w:t>
            </w:r>
            <w:r w:rsidR="00B42886" w:rsidRPr="00B50EC0">
              <w:rPr>
                <w:rFonts w:ascii="Aptos" w:hAnsi="Aptos"/>
                <w:sz w:val="15"/>
                <w:szCs w:val="15"/>
              </w:rPr>
              <w:t xml:space="preserve"> required</w:t>
            </w:r>
          </w:p>
        </w:tc>
        <w:tc>
          <w:tcPr>
            <w:tcW w:w="1118" w:type="pct"/>
            <w:hideMark/>
          </w:tcPr>
          <w:p w14:paraId="0E335690" w14:textId="77777777" w:rsidR="00600229" w:rsidRPr="00B50EC0" w:rsidRDefault="00600229" w:rsidP="00B42886">
            <w:pPr>
              <w:spacing w:before="100" w:after="56" w:line="256" w:lineRule="auto"/>
              <w:jc w:val="center"/>
              <w:rPr>
                <w:rFonts w:ascii="Aptos" w:hAnsi="Aptos"/>
                <w:sz w:val="15"/>
                <w:szCs w:val="15"/>
              </w:rPr>
            </w:pPr>
            <w:r w:rsidRPr="00B50EC0">
              <w:rPr>
                <w:rFonts w:ascii="Aptos" w:hAnsi="Aptos"/>
                <w:sz w:val="15"/>
                <w:szCs w:val="15"/>
              </w:rPr>
              <w:t>2</w:t>
            </w:r>
            <w:r w:rsidR="00B42886" w:rsidRPr="00B50EC0">
              <w:rPr>
                <w:rFonts w:ascii="Aptos" w:hAnsi="Aptos"/>
                <w:sz w:val="15"/>
                <w:szCs w:val="15"/>
              </w:rPr>
              <w:t>5</w:t>
            </w:r>
            <w:r w:rsidRPr="00B50EC0">
              <w:rPr>
                <w:rFonts w:ascii="Aptos" w:hAnsi="Aptos"/>
                <w:sz w:val="15"/>
                <w:szCs w:val="15"/>
              </w:rPr>
              <w:t>% (outside Shoreland District)</w:t>
            </w:r>
          </w:p>
        </w:tc>
        <w:tc>
          <w:tcPr>
            <w:tcW w:w="622" w:type="pct"/>
            <w:hideMark/>
          </w:tcPr>
          <w:p w14:paraId="628C9A04"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25%</w:t>
            </w:r>
          </w:p>
        </w:tc>
        <w:tc>
          <w:tcPr>
            <w:tcW w:w="621" w:type="pct"/>
            <w:hideMark/>
          </w:tcPr>
          <w:p w14:paraId="46FD8523"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50%</w:t>
            </w:r>
          </w:p>
        </w:tc>
        <w:tc>
          <w:tcPr>
            <w:tcW w:w="621" w:type="pct"/>
            <w:hideMark/>
          </w:tcPr>
          <w:p w14:paraId="06E968F5"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65%</w:t>
            </w:r>
          </w:p>
        </w:tc>
        <w:tc>
          <w:tcPr>
            <w:tcW w:w="528" w:type="pct"/>
            <w:hideMark/>
          </w:tcPr>
          <w:p w14:paraId="436C3F4B" w14:textId="77777777"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75%</w:t>
            </w:r>
          </w:p>
        </w:tc>
      </w:tr>
      <w:tr w:rsidR="00C95C3A" w:rsidRPr="00B50EC0" w14:paraId="36469808" w14:textId="77777777" w:rsidTr="0068110C">
        <w:trPr>
          <w:cantSplit/>
        </w:trPr>
        <w:tc>
          <w:tcPr>
            <w:tcW w:w="806" w:type="pct"/>
            <w:hideMark/>
          </w:tcPr>
          <w:p w14:paraId="60DAB9C0" w14:textId="77777777" w:rsidR="00600229" w:rsidRPr="00B50EC0" w:rsidRDefault="00600229" w:rsidP="004B7A55">
            <w:pPr>
              <w:spacing w:before="100" w:after="56" w:line="256" w:lineRule="auto"/>
              <w:rPr>
                <w:rFonts w:ascii="Aptos" w:hAnsi="Aptos"/>
                <w:sz w:val="15"/>
                <w:szCs w:val="15"/>
              </w:rPr>
            </w:pPr>
            <w:r w:rsidRPr="00B50EC0">
              <w:rPr>
                <w:rFonts w:ascii="Aptos" w:hAnsi="Aptos"/>
                <w:sz w:val="15"/>
                <w:szCs w:val="15"/>
              </w:rPr>
              <w:t>Maximum height</w:t>
            </w:r>
          </w:p>
        </w:tc>
        <w:tc>
          <w:tcPr>
            <w:tcW w:w="683" w:type="pct"/>
            <w:hideMark/>
          </w:tcPr>
          <w:p w14:paraId="4214E2AD" w14:textId="6AFD6B4A"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35ft</w:t>
            </w:r>
          </w:p>
        </w:tc>
        <w:tc>
          <w:tcPr>
            <w:tcW w:w="1118" w:type="pct"/>
            <w:hideMark/>
          </w:tcPr>
          <w:p w14:paraId="3648DE37" w14:textId="1709E7B4"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35ft</w:t>
            </w:r>
          </w:p>
        </w:tc>
        <w:tc>
          <w:tcPr>
            <w:tcW w:w="622" w:type="pct"/>
            <w:hideMark/>
          </w:tcPr>
          <w:p w14:paraId="2481B5E1" w14:textId="720A9491"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35ft</w:t>
            </w:r>
          </w:p>
        </w:tc>
        <w:tc>
          <w:tcPr>
            <w:tcW w:w="621" w:type="pct"/>
            <w:hideMark/>
          </w:tcPr>
          <w:p w14:paraId="1F2B40AC" w14:textId="1AF27703"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35ft</w:t>
            </w:r>
          </w:p>
        </w:tc>
        <w:tc>
          <w:tcPr>
            <w:tcW w:w="621" w:type="pct"/>
            <w:hideMark/>
          </w:tcPr>
          <w:p w14:paraId="595CC858" w14:textId="62CC7D23"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35ft</w:t>
            </w:r>
          </w:p>
        </w:tc>
        <w:tc>
          <w:tcPr>
            <w:tcW w:w="528" w:type="pct"/>
            <w:hideMark/>
          </w:tcPr>
          <w:p w14:paraId="577ECB35" w14:textId="59E999C1" w:rsidR="00600229" w:rsidRPr="00B50EC0" w:rsidRDefault="00600229" w:rsidP="004B7A55">
            <w:pPr>
              <w:spacing w:before="100" w:after="56" w:line="256" w:lineRule="auto"/>
              <w:jc w:val="center"/>
              <w:rPr>
                <w:rFonts w:ascii="Aptos" w:hAnsi="Aptos"/>
                <w:sz w:val="15"/>
                <w:szCs w:val="15"/>
              </w:rPr>
            </w:pPr>
            <w:r w:rsidRPr="00B50EC0">
              <w:rPr>
                <w:rFonts w:ascii="Aptos" w:hAnsi="Aptos"/>
                <w:sz w:val="15"/>
                <w:szCs w:val="15"/>
              </w:rPr>
              <w:t>70ft</w:t>
            </w:r>
          </w:p>
        </w:tc>
      </w:tr>
      <w:tr w:rsidR="00600229" w:rsidRPr="0068110C" w14:paraId="263BA162" w14:textId="77777777" w:rsidTr="00C95C3A">
        <w:trPr>
          <w:cantSplit/>
        </w:trPr>
        <w:tc>
          <w:tcPr>
            <w:tcW w:w="5000" w:type="pct"/>
            <w:gridSpan w:val="7"/>
            <w:hideMark/>
          </w:tcPr>
          <w:p w14:paraId="4D433456" w14:textId="77777777" w:rsidR="00600229" w:rsidRPr="0068110C" w:rsidRDefault="00600229" w:rsidP="00600229">
            <w:pPr>
              <w:rPr>
                <w:rFonts w:ascii="Aptos" w:hAnsi="Aptos"/>
                <w:sz w:val="11"/>
                <w:szCs w:val="13"/>
              </w:rPr>
            </w:pPr>
            <w:r w:rsidRPr="0068110C">
              <w:rPr>
                <w:rFonts w:ascii="Aptos" w:hAnsi="Aptos"/>
                <w:sz w:val="11"/>
                <w:szCs w:val="13"/>
                <w:vertAlign w:val="superscript"/>
              </w:rPr>
              <w:t>1</w:t>
            </w:r>
            <w:r w:rsidRPr="0068110C">
              <w:rPr>
                <w:rFonts w:ascii="Aptos" w:hAnsi="Aptos"/>
                <w:sz w:val="11"/>
                <w:szCs w:val="13"/>
              </w:rPr>
              <w:t>Minimum lot size for permitted and conditional uses other than a single-family dwelling</w:t>
            </w:r>
          </w:p>
        </w:tc>
      </w:tr>
      <w:tr w:rsidR="00600229" w:rsidRPr="0068110C" w14:paraId="31572EED" w14:textId="77777777" w:rsidTr="00C95C3A">
        <w:trPr>
          <w:cantSplit/>
        </w:trPr>
        <w:tc>
          <w:tcPr>
            <w:tcW w:w="5000" w:type="pct"/>
            <w:gridSpan w:val="7"/>
            <w:hideMark/>
          </w:tcPr>
          <w:p w14:paraId="58AAF3C8" w14:textId="77777777" w:rsidR="00600229" w:rsidRPr="0068110C" w:rsidRDefault="00600229" w:rsidP="00600229">
            <w:pPr>
              <w:rPr>
                <w:rFonts w:ascii="Aptos" w:hAnsi="Aptos"/>
                <w:sz w:val="11"/>
                <w:szCs w:val="13"/>
              </w:rPr>
            </w:pPr>
            <w:r w:rsidRPr="0068110C">
              <w:rPr>
                <w:rFonts w:ascii="Aptos" w:hAnsi="Aptos"/>
                <w:sz w:val="11"/>
                <w:szCs w:val="13"/>
                <w:vertAlign w:val="superscript"/>
              </w:rPr>
              <w:t>2</w:t>
            </w:r>
            <w:r w:rsidRPr="0068110C">
              <w:rPr>
                <w:rFonts w:ascii="Aptos" w:hAnsi="Aptos"/>
                <w:sz w:val="11"/>
                <w:szCs w:val="13"/>
              </w:rPr>
              <w:t>County ISTS standards must be met</w:t>
            </w:r>
          </w:p>
        </w:tc>
      </w:tr>
      <w:tr w:rsidR="00600229" w:rsidRPr="0068110C" w14:paraId="1475A152" w14:textId="77777777" w:rsidTr="00C95C3A">
        <w:trPr>
          <w:cantSplit/>
        </w:trPr>
        <w:tc>
          <w:tcPr>
            <w:tcW w:w="5000" w:type="pct"/>
            <w:gridSpan w:val="7"/>
            <w:hideMark/>
          </w:tcPr>
          <w:p w14:paraId="78B009D1" w14:textId="77777777" w:rsidR="00600229" w:rsidRPr="0068110C" w:rsidRDefault="00600229" w:rsidP="00600229">
            <w:pPr>
              <w:rPr>
                <w:rFonts w:ascii="Aptos" w:hAnsi="Aptos"/>
                <w:sz w:val="11"/>
                <w:szCs w:val="13"/>
              </w:rPr>
            </w:pPr>
            <w:r w:rsidRPr="0068110C">
              <w:rPr>
                <w:rFonts w:ascii="Aptos" w:hAnsi="Aptos"/>
                <w:sz w:val="11"/>
                <w:szCs w:val="13"/>
                <w:vertAlign w:val="superscript"/>
              </w:rPr>
              <w:t>3</w:t>
            </w:r>
            <w:r w:rsidRPr="0068110C">
              <w:rPr>
                <w:rFonts w:ascii="Aptos" w:hAnsi="Aptos"/>
                <w:sz w:val="11"/>
                <w:szCs w:val="13"/>
              </w:rPr>
              <w:t>Or within range of existing setbacks</w:t>
            </w:r>
          </w:p>
        </w:tc>
      </w:tr>
      <w:tr w:rsidR="00600229" w:rsidRPr="0068110C" w14:paraId="32C5B3C9" w14:textId="77777777" w:rsidTr="00C95C3A">
        <w:trPr>
          <w:cantSplit/>
        </w:trPr>
        <w:tc>
          <w:tcPr>
            <w:tcW w:w="5000" w:type="pct"/>
            <w:gridSpan w:val="7"/>
            <w:hideMark/>
          </w:tcPr>
          <w:p w14:paraId="7FBA8D25" w14:textId="77777777" w:rsidR="00600229" w:rsidRPr="0068110C" w:rsidRDefault="00600229" w:rsidP="00600229">
            <w:pPr>
              <w:rPr>
                <w:rFonts w:ascii="Aptos" w:hAnsi="Aptos"/>
                <w:sz w:val="11"/>
                <w:szCs w:val="13"/>
              </w:rPr>
            </w:pPr>
            <w:r w:rsidRPr="0068110C">
              <w:rPr>
                <w:rFonts w:ascii="Aptos" w:hAnsi="Aptos"/>
                <w:sz w:val="11"/>
                <w:szCs w:val="13"/>
                <w:vertAlign w:val="superscript"/>
              </w:rPr>
              <w:t>4</w:t>
            </w:r>
            <w:r w:rsidRPr="0068110C">
              <w:rPr>
                <w:rFonts w:ascii="Aptos" w:hAnsi="Aptos"/>
                <w:sz w:val="11"/>
                <w:szCs w:val="13"/>
              </w:rPr>
              <w:t>When public right-of-way is less than 100 feet in width</w:t>
            </w:r>
          </w:p>
        </w:tc>
      </w:tr>
      <w:tr w:rsidR="00600229" w:rsidRPr="0068110C" w14:paraId="398771C4" w14:textId="77777777" w:rsidTr="00C95C3A">
        <w:trPr>
          <w:cantSplit/>
        </w:trPr>
        <w:tc>
          <w:tcPr>
            <w:tcW w:w="5000" w:type="pct"/>
            <w:gridSpan w:val="7"/>
            <w:hideMark/>
          </w:tcPr>
          <w:p w14:paraId="658EFCDC" w14:textId="77777777" w:rsidR="00600229" w:rsidRPr="0068110C" w:rsidRDefault="00600229" w:rsidP="00600229">
            <w:pPr>
              <w:rPr>
                <w:rFonts w:ascii="Aptos" w:hAnsi="Aptos"/>
                <w:sz w:val="11"/>
                <w:szCs w:val="13"/>
              </w:rPr>
            </w:pPr>
            <w:r w:rsidRPr="0068110C">
              <w:rPr>
                <w:rFonts w:ascii="Aptos" w:hAnsi="Aptos"/>
                <w:sz w:val="11"/>
                <w:szCs w:val="13"/>
                <w:vertAlign w:val="superscript"/>
              </w:rPr>
              <w:t>5</w:t>
            </w:r>
            <w:r w:rsidRPr="0068110C">
              <w:rPr>
                <w:rFonts w:ascii="Aptos" w:hAnsi="Aptos"/>
                <w:sz w:val="11"/>
                <w:szCs w:val="13"/>
              </w:rPr>
              <w:t>When public right-of-way is greater than 100 feet in width</w:t>
            </w:r>
          </w:p>
        </w:tc>
      </w:tr>
      <w:tr w:rsidR="00600229" w:rsidRPr="0068110C" w14:paraId="384392CA" w14:textId="77777777" w:rsidTr="00C95C3A">
        <w:trPr>
          <w:cantSplit/>
        </w:trPr>
        <w:tc>
          <w:tcPr>
            <w:tcW w:w="5000" w:type="pct"/>
            <w:gridSpan w:val="7"/>
            <w:hideMark/>
          </w:tcPr>
          <w:p w14:paraId="1C2450FC" w14:textId="77777777" w:rsidR="00600229" w:rsidRPr="0068110C" w:rsidRDefault="00600229" w:rsidP="00600229">
            <w:pPr>
              <w:rPr>
                <w:rFonts w:ascii="Aptos" w:hAnsi="Aptos"/>
                <w:sz w:val="11"/>
                <w:szCs w:val="13"/>
              </w:rPr>
            </w:pPr>
            <w:r w:rsidRPr="0068110C">
              <w:rPr>
                <w:rFonts w:ascii="Aptos" w:hAnsi="Aptos"/>
                <w:sz w:val="11"/>
                <w:szCs w:val="13"/>
                <w:vertAlign w:val="superscript"/>
              </w:rPr>
              <w:t>6</w:t>
            </w:r>
            <w:r w:rsidRPr="0068110C">
              <w:rPr>
                <w:rFonts w:ascii="Aptos" w:hAnsi="Aptos"/>
                <w:sz w:val="11"/>
                <w:szCs w:val="13"/>
              </w:rPr>
              <w:t>The yard setback is 50 feet when adjacent to a residential or agricultural district</w:t>
            </w:r>
          </w:p>
        </w:tc>
      </w:tr>
      <w:tr w:rsidR="00600229" w:rsidRPr="0068110C" w14:paraId="5A31EF6B" w14:textId="77777777" w:rsidTr="00C95C3A">
        <w:trPr>
          <w:cantSplit/>
        </w:trPr>
        <w:tc>
          <w:tcPr>
            <w:tcW w:w="5000" w:type="pct"/>
            <w:gridSpan w:val="7"/>
            <w:hideMark/>
          </w:tcPr>
          <w:p w14:paraId="13630E8D" w14:textId="77777777" w:rsidR="00600229" w:rsidRPr="0068110C" w:rsidRDefault="00600229" w:rsidP="00600229">
            <w:pPr>
              <w:rPr>
                <w:rFonts w:ascii="Aptos" w:hAnsi="Aptos"/>
                <w:sz w:val="11"/>
                <w:szCs w:val="13"/>
              </w:rPr>
            </w:pPr>
            <w:r w:rsidRPr="0068110C">
              <w:rPr>
                <w:rFonts w:ascii="Aptos" w:hAnsi="Aptos"/>
                <w:sz w:val="11"/>
                <w:szCs w:val="13"/>
                <w:vertAlign w:val="superscript"/>
              </w:rPr>
              <w:t>7</w:t>
            </w:r>
            <w:r w:rsidRPr="0068110C">
              <w:rPr>
                <w:rFonts w:ascii="Aptos" w:hAnsi="Aptos"/>
                <w:sz w:val="11"/>
                <w:szCs w:val="13"/>
              </w:rPr>
              <w:t>Agricultural buildings are exempt from height limitations, non-Ag buildings not to exceed 2.5 stories or 35 feet height, whichever is greater</w:t>
            </w:r>
          </w:p>
        </w:tc>
      </w:tr>
      <w:tr w:rsidR="004A07EE" w:rsidRPr="0068110C" w14:paraId="3F2D0987" w14:textId="77777777" w:rsidTr="00C95C3A">
        <w:trPr>
          <w:cantSplit/>
        </w:trPr>
        <w:tc>
          <w:tcPr>
            <w:tcW w:w="5000" w:type="pct"/>
            <w:gridSpan w:val="7"/>
          </w:tcPr>
          <w:p w14:paraId="48BABE8D" w14:textId="77777777" w:rsidR="004A07EE" w:rsidRPr="0068110C" w:rsidRDefault="004A07EE" w:rsidP="004A07EE">
            <w:pPr>
              <w:ind w:left="75" w:hanging="75"/>
              <w:rPr>
                <w:rFonts w:ascii="Aptos" w:hAnsi="Aptos"/>
                <w:sz w:val="11"/>
                <w:szCs w:val="13"/>
                <w:vertAlign w:val="superscript"/>
              </w:rPr>
            </w:pPr>
            <w:r w:rsidRPr="0068110C">
              <w:rPr>
                <w:rFonts w:ascii="Aptos" w:hAnsi="Aptos"/>
                <w:sz w:val="11"/>
                <w:szCs w:val="13"/>
                <w:vertAlign w:val="superscript"/>
              </w:rPr>
              <w:t>*</w:t>
            </w:r>
            <w:r w:rsidRPr="0068110C">
              <w:rPr>
                <w:rFonts w:ascii="Aptos" w:hAnsi="Aptos"/>
                <w:sz w:val="11"/>
                <w:szCs w:val="13"/>
              </w:rPr>
              <w:t>An exemption to the Side &amp; Rear yard setback requirement may be given for two (2) contiguous parcels, in the A-1 Agricultural Protection Zoning District, under one ownership or owned by a family member based upon the definition of “FAMILY” provided the owner(s) and family member(s) signs an affidavit that will be recorded stating that they have no objection to an agricultural structure being closer than the required 20ft. All other requirements of this ordinance shall be adhered to.</w:t>
            </w:r>
          </w:p>
        </w:tc>
      </w:tr>
      <w:tr w:rsidR="0068110C" w:rsidRPr="0068110C" w14:paraId="7813CBE6" w14:textId="77777777" w:rsidTr="00C95C3A">
        <w:trPr>
          <w:cantSplit/>
        </w:trPr>
        <w:tc>
          <w:tcPr>
            <w:tcW w:w="5000" w:type="pct"/>
            <w:gridSpan w:val="7"/>
          </w:tcPr>
          <w:p w14:paraId="76AD794F" w14:textId="2A822EAB" w:rsidR="0068110C" w:rsidRPr="0068110C" w:rsidRDefault="0068110C" w:rsidP="004A07EE">
            <w:pPr>
              <w:ind w:left="75" w:hanging="75"/>
              <w:rPr>
                <w:rFonts w:ascii="Aptos" w:hAnsi="Aptos"/>
                <w:sz w:val="11"/>
                <w:szCs w:val="13"/>
              </w:rPr>
            </w:pPr>
            <w:r w:rsidRPr="0068110C">
              <w:rPr>
                <w:rFonts w:ascii="Aptos" w:hAnsi="Aptos"/>
                <w:sz w:val="11"/>
                <w:szCs w:val="13"/>
              </w:rPr>
              <w:t>**Minimum front yard setback when a property is accessed via a private road</w:t>
            </w:r>
          </w:p>
        </w:tc>
      </w:tr>
    </w:tbl>
    <w:p w14:paraId="3DD365DF" w14:textId="77777777" w:rsidR="00600229" w:rsidRPr="0068110C" w:rsidRDefault="00600229" w:rsidP="0068110C">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74"/>
        </w:tabs>
        <w:jc w:val="both"/>
        <w:rPr>
          <w:rFonts w:ascii="Aptos" w:hAnsi="Aptos"/>
          <w:sz w:val="16"/>
          <w:szCs w:val="16"/>
        </w:rPr>
      </w:pPr>
    </w:p>
    <w:sectPr w:rsidR="00600229" w:rsidRPr="0068110C" w:rsidSect="00DC010E">
      <w:pgSz w:w="15840" w:h="12240" w:orient="landscape"/>
      <w:pgMar w:top="63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A6"/>
    <w:rsid w:val="001B19C9"/>
    <w:rsid w:val="00251DA6"/>
    <w:rsid w:val="0025556D"/>
    <w:rsid w:val="002779EE"/>
    <w:rsid w:val="00404199"/>
    <w:rsid w:val="0049113A"/>
    <w:rsid w:val="004A07EE"/>
    <w:rsid w:val="00600229"/>
    <w:rsid w:val="006677C6"/>
    <w:rsid w:val="0068110C"/>
    <w:rsid w:val="007F0E3D"/>
    <w:rsid w:val="009A11EC"/>
    <w:rsid w:val="009F2C9A"/>
    <w:rsid w:val="00B42886"/>
    <w:rsid w:val="00B50EC0"/>
    <w:rsid w:val="00C80808"/>
    <w:rsid w:val="00C921E3"/>
    <w:rsid w:val="00C95C3A"/>
    <w:rsid w:val="00DC010E"/>
    <w:rsid w:val="00F61DF6"/>
    <w:rsid w:val="00F6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D88"/>
  <w15:chartTrackingRefBased/>
  <w15:docId w15:val="{0848A448-58A5-43A2-B7AE-63ACF0C9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A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1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Maame Yorke</dc:creator>
  <cp:keywords/>
  <dc:description/>
  <cp:lastModifiedBy>Maame Quarcoo</cp:lastModifiedBy>
  <cp:revision>8</cp:revision>
  <cp:lastPrinted>2022-10-05T17:06:00Z</cp:lastPrinted>
  <dcterms:created xsi:type="dcterms:W3CDTF">2020-12-17T17:22:00Z</dcterms:created>
  <dcterms:modified xsi:type="dcterms:W3CDTF">2025-07-01T17:38:00Z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2024-03-05T20:29:29Z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9064e05a-37cc-4f79-928c-97bbfdb50b27</vt:lpwstr>
  </property>
  <property fmtid="{D5CDD505-2E9C-101B-9397-08002B2CF9AE}" pid="7" name="MSIP_Label_defa4170-0d19-0005-0004-bc88714345d2_ActionId">
    <vt:lpwstr>337dbded-a6ba-4b5a-94d6-b2383c6eb619</vt:lpwstr>
  </property>
  <property fmtid="{D5CDD505-2E9C-101B-9397-08002B2CF9AE}" pid="8" name="MSIP_Label_defa4170-0d19-0005-0004-bc88714345d2_ContentBits">
    <vt:lpwstr>0</vt:lpwstr>
  </property>
</Properties>
</file>